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3.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rawings/drawing4.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6.xml" ContentType="application/vnd.openxmlformats-officedocument.drawingml.chart+xml"/>
  <Override PartName="/word/theme/themeOverride6.xml" ContentType="application/vnd.openxmlformats-officedocument.themeOverride+xml"/>
  <Override PartName="/word/drawings/drawing6.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drawings/drawing7.xml" ContentType="application/vnd.openxmlformats-officedocument.drawingml.chartshapes+xml"/>
  <Override PartName="/word/charts/chart8.xml" ContentType="application/vnd.openxmlformats-officedocument.drawingml.chart+xml"/>
  <Override PartName="/word/theme/themeOverride8.xml" ContentType="application/vnd.openxmlformats-officedocument.themeOverride+xml"/>
  <Override PartName="/word/drawings/drawing8.xml" ContentType="application/vnd.openxmlformats-officedocument.drawingml.chartshapes+xml"/>
  <Override PartName="/word/charts/chart9.xml" ContentType="application/vnd.openxmlformats-officedocument.drawingml.chart+xml"/>
  <Override PartName="/word/theme/themeOverride9.xml" ContentType="application/vnd.openxmlformats-officedocument.themeOverride+xml"/>
  <Override PartName="/word/drawings/drawing9.xml" ContentType="application/vnd.openxmlformats-officedocument.drawingml.chartshapes+xml"/>
  <Override PartName="/word/charts/chart10.xml" ContentType="application/vnd.openxmlformats-officedocument.drawingml.chart+xml"/>
  <Override PartName="/word/theme/themeOverride10.xml" ContentType="application/vnd.openxmlformats-officedocument.themeOverride+xml"/>
  <Override PartName="/word/drawings/drawing10.xml" ContentType="application/vnd.openxmlformats-officedocument.drawingml.chartshapes+xml"/>
  <Override PartName="/word/charts/chart11.xml" ContentType="application/vnd.openxmlformats-officedocument.drawingml.chart+xml"/>
  <Override PartName="/word/theme/themeOverride11.xml" ContentType="application/vnd.openxmlformats-officedocument.themeOverride+xml"/>
  <Override PartName="/word/drawings/drawing1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43F" w:rsidRPr="004F176C" w:rsidRDefault="00B5743F" w:rsidP="004F176C">
      <w:pPr>
        <w:pStyle w:val="Heading1"/>
      </w:pPr>
      <w:bookmarkStart w:id="0" w:name="_Ref307574891"/>
      <w:bookmarkStart w:id="1" w:name="_Toc308510723"/>
      <w:bookmarkStart w:id="2" w:name="_Toc308511021"/>
      <w:bookmarkStart w:id="3" w:name="_Toc252372396"/>
      <w:bookmarkStart w:id="4" w:name="_Toc252372582"/>
      <w:r w:rsidRPr="004F176C">
        <w:t>Appendix A-1</w:t>
      </w:r>
      <w:bookmarkEnd w:id="0"/>
    </w:p>
    <w:p w:rsidR="00692F39" w:rsidRDefault="004F176C" w:rsidP="004F176C">
      <w:pPr>
        <w:pStyle w:val="Heading1"/>
      </w:pPr>
      <w:r>
        <w:br/>
      </w:r>
      <w:r w:rsidR="00692F39">
        <w:t>DEER Measure Database Updates</w:t>
      </w:r>
      <w:bookmarkEnd w:id="1"/>
      <w:bookmarkEnd w:id="2"/>
    </w:p>
    <w:p w:rsidR="00887F71" w:rsidRDefault="00692F39" w:rsidP="004F176C">
      <w:pPr>
        <w:rPr>
          <w:rFonts w:ascii="Arial" w:hAnsi="Arial" w:cs="Arial"/>
          <w:b/>
        </w:rPr>
      </w:pPr>
      <w:bookmarkStart w:id="5" w:name="_Toc308510724"/>
      <w:r>
        <w:rPr>
          <w:rFonts w:ascii="Arial" w:hAnsi="Arial" w:cs="Arial"/>
          <w:b/>
        </w:rPr>
        <w:t>Measure content, modeling method</w:t>
      </w:r>
      <w:r w:rsidR="00887F71">
        <w:rPr>
          <w:rFonts w:ascii="Arial" w:hAnsi="Arial" w:cs="Arial"/>
          <w:b/>
        </w:rPr>
        <w:t>,</w:t>
      </w:r>
      <w:r w:rsidRPr="00692F39">
        <w:rPr>
          <w:rFonts w:ascii="Arial" w:hAnsi="Arial" w:cs="Arial"/>
          <w:b/>
        </w:rPr>
        <w:t xml:space="preserve"> model input parameter</w:t>
      </w:r>
      <w:bookmarkEnd w:id="5"/>
      <w:r w:rsidR="00887F71">
        <w:rPr>
          <w:rFonts w:ascii="Arial" w:hAnsi="Arial" w:cs="Arial"/>
          <w:b/>
        </w:rPr>
        <w:t>,</w:t>
      </w:r>
    </w:p>
    <w:p w:rsidR="00692F39" w:rsidRPr="00692F39" w:rsidRDefault="00887F71" w:rsidP="004F176C">
      <w:pPr>
        <w:rPr>
          <w:rFonts w:ascii="Arial" w:hAnsi="Arial" w:cs="Arial"/>
          <w:b/>
        </w:rPr>
      </w:pPr>
      <w:proofErr w:type="gramStart"/>
      <w:r>
        <w:rPr>
          <w:rFonts w:ascii="Arial" w:hAnsi="Arial" w:cs="Arial"/>
          <w:b/>
        </w:rPr>
        <w:t>and</w:t>
      </w:r>
      <w:proofErr w:type="gramEnd"/>
      <w:r>
        <w:rPr>
          <w:rFonts w:ascii="Arial" w:hAnsi="Arial" w:cs="Arial"/>
          <w:b/>
        </w:rPr>
        <w:t xml:space="preserve"> database format</w:t>
      </w:r>
      <w:r w:rsidR="00692F39">
        <w:rPr>
          <w:rFonts w:ascii="Arial" w:hAnsi="Arial" w:cs="Arial"/>
          <w:b/>
        </w:rPr>
        <w:t xml:space="preserve"> changes</w:t>
      </w:r>
    </w:p>
    <w:p w:rsidR="00692F39" w:rsidRDefault="00692F39" w:rsidP="004F176C">
      <w:pPr>
        <w:spacing w:after="120"/>
        <w:rPr>
          <w:rFonts w:ascii="Arial" w:hAnsi="Arial" w:cs="Arial"/>
        </w:rPr>
      </w:pPr>
      <w:bookmarkStart w:id="6" w:name="_Toc308510725"/>
      <w:r w:rsidRPr="00692F39">
        <w:rPr>
          <w:rFonts w:ascii="Arial" w:hAnsi="Arial" w:cs="Arial"/>
        </w:rPr>
        <w:t>(Version 4.00 first release in November 2011)</w:t>
      </w:r>
      <w:bookmarkEnd w:id="6"/>
    </w:p>
    <w:p w:rsidR="00692F39" w:rsidRPr="00692F39" w:rsidRDefault="00692F39" w:rsidP="004F176C">
      <w:pPr>
        <w:rPr>
          <w:rFonts w:ascii="Arial" w:hAnsi="Arial" w:cs="Arial"/>
          <w:color w:val="FF0000"/>
        </w:rPr>
      </w:pPr>
      <w:r w:rsidRPr="00692F39">
        <w:rPr>
          <w:rFonts w:ascii="Arial" w:hAnsi="Arial" w:cs="Arial"/>
          <w:color w:val="FF0000"/>
        </w:rPr>
        <w:t>This document last updated 8 November 2011</w:t>
      </w:r>
    </w:p>
    <w:bookmarkEnd w:id="3"/>
    <w:bookmarkEnd w:id="4"/>
    <w:p w:rsidR="004927F4" w:rsidRDefault="004927F4"/>
    <w:p w:rsidR="004927F4" w:rsidRDefault="004927F4">
      <w:r>
        <w:t xml:space="preserve">Version </w:t>
      </w:r>
      <w:r w:rsidR="00E0228F">
        <w:t>4.00</w:t>
      </w:r>
      <w:r>
        <w:t xml:space="preserve"> of the DEER measure database is the update to the mid-December DEER 2008 release for 2009-2011 Energy Efficiency Planning/Reporting</w:t>
      </w:r>
      <w:r w:rsidR="00E0228F">
        <w:t xml:space="preserve"> (DEER v2.05)</w:t>
      </w:r>
      <w:r w:rsidR="00C04335">
        <w:t>.</w:t>
      </w:r>
      <w:r>
        <w:t xml:space="preserve">  It was created with a new version of the DEER measure analysis software (MAS).  The new MAS tool includes a number of changes and additions to the previous version that results in an improved and expanded DEER measure database.  The database structure and the database viewing tool, </w:t>
      </w:r>
      <w:proofErr w:type="spellStart"/>
      <w:r>
        <w:t>MISer</w:t>
      </w:r>
      <w:proofErr w:type="spellEnd"/>
      <w:r>
        <w:t xml:space="preserve">, have also been updated for this database release.  </w:t>
      </w:r>
    </w:p>
    <w:p w:rsidR="004927F4" w:rsidRDefault="004927F4"/>
    <w:p w:rsidR="004927F4" w:rsidRDefault="00A040E4">
      <w:r>
        <w:t xml:space="preserve">Changes to the MAS tool were made to either fix simulation errors or to improve the processing of hourly simulation data for the determination of demand impacts.  In addition, </w:t>
      </w:r>
      <w:r w:rsidR="004927F4">
        <w:t xml:space="preserve">the MAS tool was expanded to include additional measures and additional measure base cases that were requested by the </w:t>
      </w:r>
      <w:r w:rsidR="00583016">
        <w:t>utilities.</w:t>
      </w:r>
    </w:p>
    <w:p w:rsidR="007135BB" w:rsidRDefault="007135BB"/>
    <w:p w:rsidR="007135BB" w:rsidRDefault="00E9101B">
      <w:r>
        <w:t xml:space="preserve">Outline of </w:t>
      </w:r>
      <w:r w:rsidR="007135BB">
        <w:t>C</w:t>
      </w:r>
      <w:r>
        <w:t>ontents:</w:t>
      </w:r>
    </w:p>
    <w:p w:rsidR="00692F39" w:rsidRDefault="00367EA9">
      <w:pPr>
        <w:pStyle w:val="TOC1"/>
        <w:tabs>
          <w:tab w:val="right" w:leader="dot" w:pos="8630"/>
        </w:tabs>
        <w:rPr>
          <w:rFonts w:ascii="Calibri" w:hAnsi="Calibri"/>
          <w:noProof/>
          <w:sz w:val="22"/>
          <w:szCs w:val="22"/>
        </w:rPr>
      </w:pPr>
      <w:r>
        <w:fldChar w:fldCharType="begin"/>
      </w:r>
      <w:r w:rsidR="007135BB">
        <w:instrText xml:space="preserve"> TOC  \* MERGEFORMAT </w:instrText>
      </w:r>
      <w:r>
        <w:fldChar w:fldCharType="separate"/>
      </w:r>
      <w:r w:rsidR="00692F39">
        <w:rPr>
          <w:noProof/>
        </w:rPr>
        <w:t>DEER Measure Database Updates</w:t>
      </w:r>
      <w:r w:rsidR="00692F39">
        <w:rPr>
          <w:noProof/>
        </w:rPr>
        <w:tab/>
      </w:r>
      <w:r>
        <w:rPr>
          <w:noProof/>
        </w:rPr>
        <w:fldChar w:fldCharType="begin"/>
      </w:r>
      <w:r w:rsidR="00692F39">
        <w:rPr>
          <w:noProof/>
        </w:rPr>
        <w:instrText xml:space="preserve"> PAGEREF _Toc308511021 \h </w:instrText>
      </w:r>
      <w:r>
        <w:rPr>
          <w:noProof/>
        </w:rPr>
      </w:r>
      <w:r>
        <w:rPr>
          <w:noProof/>
        </w:rPr>
        <w:fldChar w:fldCharType="separate"/>
      </w:r>
      <w:r w:rsidR="00692F39">
        <w:rPr>
          <w:noProof/>
        </w:rPr>
        <w:t>1</w:t>
      </w:r>
      <w:r>
        <w:rPr>
          <w:noProof/>
        </w:rPr>
        <w:fldChar w:fldCharType="end"/>
      </w:r>
    </w:p>
    <w:p w:rsidR="00692F39" w:rsidRDefault="00692F39">
      <w:pPr>
        <w:pStyle w:val="TOC2"/>
        <w:tabs>
          <w:tab w:val="right" w:leader="dot" w:pos="8630"/>
        </w:tabs>
        <w:rPr>
          <w:rFonts w:ascii="Calibri" w:hAnsi="Calibri"/>
          <w:noProof/>
          <w:sz w:val="22"/>
          <w:szCs w:val="22"/>
        </w:rPr>
      </w:pPr>
      <w:r>
        <w:rPr>
          <w:noProof/>
        </w:rPr>
        <w:t>Changes to the MAS tool</w:t>
      </w:r>
      <w:r>
        <w:rPr>
          <w:noProof/>
        </w:rPr>
        <w:tab/>
      </w:r>
      <w:r w:rsidR="00367EA9">
        <w:rPr>
          <w:noProof/>
        </w:rPr>
        <w:fldChar w:fldCharType="begin"/>
      </w:r>
      <w:r>
        <w:rPr>
          <w:noProof/>
        </w:rPr>
        <w:instrText xml:space="preserve"> PAGEREF _Toc308511022 \h </w:instrText>
      </w:r>
      <w:r w:rsidR="00367EA9">
        <w:rPr>
          <w:noProof/>
        </w:rPr>
      </w:r>
      <w:r w:rsidR="00367EA9">
        <w:rPr>
          <w:noProof/>
        </w:rPr>
        <w:fldChar w:fldCharType="separate"/>
      </w:r>
      <w:r>
        <w:rPr>
          <w:noProof/>
        </w:rPr>
        <w:t>3</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Large Office primary lighting schedule</w:t>
      </w:r>
      <w:r>
        <w:rPr>
          <w:noProof/>
        </w:rPr>
        <w:tab/>
      </w:r>
      <w:r w:rsidR="00367EA9">
        <w:rPr>
          <w:noProof/>
        </w:rPr>
        <w:fldChar w:fldCharType="begin"/>
      </w:r>
      <w:r>
        <w:rPr>
          <w:noProof/>
        </w:rPr>
        <w:instrText xml:space="preserve"> PAGEREF _Toc308511023 \h </w:instrText>
      </w:r>
      <w:r w:rsidR="00367EA9">
        <w:rPr>
          <w:noProof/>
        </w:rPr>
      </w:r>
      <w:r w:rsidR="00367EA9">
        <w:rPr>
          <w:noProof/>
        </w:rPr>
        <w:fldChar w:fldCharType="separate"/>
      </w:r>
      <w:r>
        <w:rPr>
          <w:noProof/>
        </w:rPr>
        <w:t>3</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Nonresidential indoor lighting operating hours and coincident demand factors</w:t>
      </w:r>
      <w:r>
        <w:rPr>
          <w:noProof/>
        </w:rPr>
        <w:tab/>
      </w:r>
      <w:r w:rsidR="00367EA9">
        <w:rPr>
          <w:noProof/>
        </w:rPr>
        <w:fldChar w:fldCharType="begin"/>
      </w:r>
      <w:r>
        <w:rPr>
          <w:noProof/>
        </w:rPr>
        <w:instrText xml:space="preserve"> PAGEREF _Toc308511024 \h </w:instrText>
      </w:r>
      <w:r w:rsidR="00367EA9">
        <w:rPr>
          <w:noProof/>
        </w:rPr>
      </w:r>
      <w:r w:rsidR="00367EA9">
        <w:rPr>
          <w:noProof/>
        </w:rPr>
        <w:fldChar w:fldCharType="separate"/>
      </w:r>
      <w:r>
        <w:rPr>
          <w:noProof/>
        </w:rPr>
        <w:t>3</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Boiler Sizing</w:t>
      </w:r>
      <w:r>
        <w:rPr>
          <w:noProof/>
        </w:rPr>
        <w:tab/>
      </w:r>
      <w:r w:rsidR="00367EA9">
        <w:rPr>
          <w:noProof/>
        </w:rPr>
        <w:fldChar w:fldCharType="begin"/>
      </w:r>
      <w:r>
        <w:rPr>
          <w:noProof/>
        </w:rPr>
        <w:instrText xml:space="preserve"> PAGEREF _Toc308511025 \h </w:instrText>
      </w:r>
      <w:r w:rsidR="00367EA9">
        <w:rPr>
          <w:noProof/>
        </w:rPr>
      </w:r>
      <w:r w:rsidR="00367EA9">
        <w:rPr>
          <w:noProof/>
        </w:rPr>
        <w:fldChar w:fldCharType="separate"/>
      </w:r>
      <w:r>
        <w:rPr>
          <w:noProof/>
        </w:rPr>
        <w:t>5</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Hot Water Storage Heater Sizing</w:t>
      </w:r>
      <w:r>
        <w:rPr>
          <w:noProof/>
        </w:rPr>
        <w:tab/>
      </w:r>
      <w:r w:rsidR="00367EA9">
        <w:rPr>
          <w:noProof/>
        </w:rPr>
        <w:fldChar w:fldCharType="begin"/>
      </w:r>
      <w:r>
        <w:rPr>
          <w:noProof/>
        </w:rPr>
        <w:instrText xml:space="preserve"> PAGEREF _Toc308511026 \h </w:instrText>
      </w:r>
      <w:r w:rsidR="00367EA9">
        <w:rPr>
          <w:noProof/>
        </w:rPr>
      </w:r>
      <w:r w:rsidR="00367EA9">
        <w:rPr>
          <w:noProof/>
        </w:rPr>
        <w:fldChar w:fldCharType="separate"/>
      </w:r>
      <w:r>
        <w:rPr>
          <w:noProof/>
        </w:rPr>
        <w:t>5</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Packaged HVAC specifications</w:t>
      </w:r>
      <w:r>
        <w:rPr>
          <w:noProof/>
        </w:rPr>
        <w:tab/>
      </w:r>
      <w:r w:rsidR="00367EA9">
        <w:rPr>
          <w:noProof/>
        </w:rPr>
        <w:fldChar w:fldCharType="begin"/>
      </w:r>
      <w:r>
        <w:rPr>
          <w:noProof/>
        </w:rPr>
        <w:instrText xml:space="preserve"> PAGEREF _Toc308511027 \h </w:instrText>
      </w:r>
      <w:r w:rsidR="00367EA9">
        <w:rPr>
          <w:noProof/>
        </w:rPr>
      </w:r>
      <w:r w:rsidR="00367EA9">
        <w:rPr>
          <w:noProof/>
        </w:rPr>
        <w:fldChar w:fldCharType="separate"/>
      </w:r>
      <w:r>
        <w:rPr>
          <w:noProof/>
        </w:rPr>
        <w:t>5</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Oldest building vintage HVAC system performance</w:t>
      </w:r>
      <w:r>
        <w:rPr>
          <w:noProof/>
        </w:rPr>
        <w:tab/>
      </w:r>
      <w:r w:rsidR="00367EA9">
        <w:rPr>
          <w:noProof/>
        </w:rPr>
        <w:fldChar w:fldCharType="begin"/>
      </w:r>
      <w:r>
        <w:rPr>
          <w:noProof/>
        </w:rPr>
        <w:instrText xml:space="preserve"> PAGEREF _Toc308511028 \h </w:instrText>
      </w:r>
      <w:r w:rsidR="00367EA9">
        <w:rPr>
          <w:noProof/>
        </w:rPr>
      </w:r>
      <w:r w:rsidR="00367EA9">
        <w:rPr>
          <w:noProof/>
        </w:rPr>
        <w:fldChar w:fldCharType="separate"/>
      </w:r>
      <w:r>
        <w:rPr>
          <w:noProof/>
        </w:rPr>
        <w:t>6</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Economizer set point</w:t>
      </w:r>
      <w:r>
        <w:rPr>
          <w:noProof/>
        </w:rPr>
        <w:tab/>
      </w:r>
      <w:r w:rsidR="00367EA9">
        <w:rPr>
          <w:noProof/>
        </w:rPr>
        <w:fldChar w:fldCharType="begin"/>
      </w:r>
      <w:r>
        <w:rPr>
          <w:noProof/>
        </w:rPr>
        <w:instrText xml:space="preserve"> PAGEREF _Toc308511029 \h </w:instrText>
      </w:r>
      <w:r w:rsidR="00367EA9">
        <w:rPr>
          <w:noProof/>
        </w:rPr>
      </w:r>
      <w:r w:rsidR="00367EA9">
        <w:rPr>
          <w:noProof/>
        </w:rPr>
        <w:fldChar w:fldCharType="separate"/>
      </w:r>
      <w:r>
        <w:rPr>
          <w:noProof/>
        </w:rPr>
        <w:t>6</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DOE2.2 bug fixes</w:t>
      </w:r>
      <w:r>
        <w:rPr>
          <w:noProof/>
        </w:rPr>
        <w:tab/>
      </w:r>
      <w:r w:rsidR="00367EA9">
        <w:rPr>
          <w:noProof/>
        </w:rPr>
        <w:fldChar w:fldCharType="begin"/>
      </w:r>
      <w:r>
        <w:rPr>
          <w:noProof/>
        </w:rPr>
        <w:instrText xml:space="preserve"> PAGEREF _Toc308511030 \h </w:instrText>
      </w:r>
      <w:r w:rsidR="00367EA9">
        <w:rPr>
          <w:noProof/>
        </w:rPr>
      </w:r>
      <w:r w:rsidR="00367EA9">
        <w:rPr>
          <w:noProof/>
        </w:rPr>
        <w:fldChar w:fldCharType="separate"/>
      </w:r>
      <w:r>
        <w:rPr>
          <w:noProof/>
        </w:rPr>
        <w:t>6</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T12 linear fluorescent baseline fixtures</w:t>
      </w:r>
      <w:r>
        <w:rPr>
          <w:noProof/>
        </w:rPr>
        <w:tab/>
      </w:r>
      <w:r w:rsidR="00367EA9">
        <w:rPr>
          <w:noProof/>
        </w:rPr>
        <w:fldChar w:fldCharType="begin"/>
      </w:r>
      <w:r>
        <w:rPr>
          <w:noProof/>
        </w:rPr>
        <w:instrText xml:space="preserve"> PAGEREF _Toc308511031 \h </w:instrText>
      </w:r>
      <w:r w:rsidR="00367EA9">
        <w:rPr>
          <w:noProof/>
        </w:rPr>
      </w:r>
      <w:r w:rsidR="00367EA9">
        <w:rPr>
          <w:noProof/>
        </w:rPr>
        <w:fldChar w:fldCharType="separate"/>
      </w:r>
      <w:r>
        <w:rPr>
          <w:noProof/>
        </w:rPr>
        <w:t>6</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Residential Interior Lighting Profile for CFLs</w:t>
      </w:r>
      <w:r>
        <w:rPr>
          <w:noProof/>
        </w:rPr>
        <w:tab/>
      </w:r>
      <w:r w:rsidR="00367EA9">
        <w:rPr>
          <w:noProof/>
        </w:rPr>
        <w:fldChar w:fldCharType="begin"/>
      </w:r>
      <w:r>
        <w:rPr>
          <w:noProof/>
        </w:rPr>
        <w:instrText xml:space="preserve"> PAGEREF _Toc308511032 \h </w:instrText>
      </w:r>
      <w:r w:rsidR="00367EA9">
        <w:rPr>
          <w:noProof/>
        </w:rPr>
      </w:r>
      <w:r w:rsidR="00367EA9">
        <w:rPr>
          <w:noProof/>
        </w:rPr>
        <w:fldChar w:fldCharType="separate"/>
      </w:r>
      <w:r>
        <w:rPr>
          <w:noProof/>
        </w:rPr>
        <w:t>8</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Residential Interior CFL Operating Hours and Coincident Demand Factors</w:t>
      </w:r>
      <w:r>
        <w:rPr>
          <w:noProof/>
        </w:rPr>
        <w:tab/>
      </w:r>
      <w:r w:rsidR="00367EA9">
        <w:rPr>
          <w:noProof/>
        </w:rPr>
        <w:fldChar w:fldCharType="begin"/>
      </w:r>
      <w:r>
        <w:rPr>
          <w:noProof/>
        </w:rPr>
        <w:instrText xml:space="preserve"> PAGEREF _Toc308511033 \h </w:instrText>
      </w:r>
      <w:r w:rsidR="00367EA9">
        <w:rPr>
          <w:noProof/>
        </w:rPr>
      </w:r>
      <w:r w:rsidR="00367EA9">
        <w:rPr>
          <w:noProof/>
        </w:rPr>
        <w:fldChar w:fldCharType="separate"/>
      </w:r>
      <w:r>
        <w:rPr>
          <w:noProof/>
        </w:rPr>
        <w:t>9</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Residential Exterior CFL Lighting Operating Hours</w:t>
      </w:r>
      <w:r>
        <w:rPr>
          <w:noProof/>
        </w:rPr>
        <w:tab/>
      </w:r>
      <w:r w:rsidR="00367EA9">
        <w:rPr>
          <w:noProof/>
        </w:rPr>
        <w:fldChar w:fldCharType="begin"/>
      </w:r>
      <w:r>
        <w:rPr>
          <w:noProof/>
        </w:rPr>
        <w:instrText xml:space="preserve"> PAGEREF _Toc308511034 \h </w:instrText>
      </w:r>
      <w:r w:rsidR="00367EA9">
        <w:rPr>
          <w:noProof/>
        </w:rPr>
      </w:r>
      <w:r w:rsidR="00367EA9">
        <w:rPr>
          <w:noProof/>
        </w:rPr>
        <w:fldChar w:fldCharType="separate"/>
      </w:r>
      <w:r>
        <w:rPr>
          <w:noProof/>
        </w:rPr>
        <w:t>10</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Residential CFL Lighting Wattage Reduction</w:t>
      </w:r>
      <w:r>
        <w:rPr>
          <w:noProof/>
        </w:rPr>
        <w:tab/>
      </w:r>
      <w:r w:rsidR="00367EA9">
        <w:rPr>
          <w:noProof/>
        </w:rPr>
        <w:fldChar w:fldCharType="begin"/>
      </w:r>
      <w:r>
        <w:rPr>
          <w:noProof/>
        </w:rPr>
        <w:instrText xml:space="preserve"> PAGEREF _Toc308511035 \h </w:instrText>
      </w:r>
      <w:r w:rsidR="00367EA9">
        <w:rPr>
          <w:noProof/>
        </w:rPr>
      </w:r>
      <w:r w:rsidR="00367EA9">
        <w:rPr>
          <w:noProof/>
        </w:rPr>
        <w:fldChar w:fldCharType="separate"/>
      </w:r>
      <w:r>
        <w:rPr>
          <w:noProof/>
        </w:rPr>
        <w:t>10</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Residential Refrigerator Equipment Rating set point</w:t>
      </w:r>
      <w:r>
        <w:rPr>
          <w:noProof/>
        </w:rPr>
        <w:tab/>
      </w:r>
      <w:r w:rsidR="00367EA9">
        <w:rPr>
          <w:noProof/>
        </w:rPr>
        <w:fldChar w:fldCharType="begin"/>
      </w:r>
      <w:r>
        <w:rPr>
          <w:noProof/>
        </w:rPr>
        <w:instrText xml:space="preserve"> PAGEREF _Toc308511036 \h </w:instrText>
      </w:r>
      <w:r w:rsidR="00367EA9">
        <w:rPr>
          <w:noProof/>
        </w:rPr>
      </w:r>
      <w:r w:rsidR="00367EA9">
        <w:rPr>
          <w:noProof/>
        </w:rPr>
        <w:fldChar w:fldCharType="separate"/>
      </w:r>
      <w:r>
        <w:rPr>
          <w:noProof/>
        </w:rPr>
        <w:t>11</w:t>
      </w:r>
      <w:r w:rsidR="00367EA9">
        <w:rPr>
          <w:noProof/>
        </w:rPr>
        <w:fldChar w:fldCharType="end"/>
      </w:r>
    </w:p>
    <w:p w:rsidR="00692F39" w:rsidRDefault="00692F39">
      <w:pPr>
        <w:pStyle w:val="TOC3"/>
        <w:tabs>
          <w:tab w:val="right" w:leader="dot" w:pos="8630"/>
        </w:tabs>
        <w:rPr>
          <w:rFonts w:ascii="Calibri" w:hAnsi="Calibri"/>
          <w:noProof/>
          <w:sz w:val="22"/>
          <w:szCs w:val="22"/>
        </w:rPr>
      </w:pPr>
      <w:r>
        <w:rPr>
          <w:noProof/>
        </w:rPr>
        <w:t>Peak-Period Demand Issues</w:t>
      </w:r>
      <w:r>
        <w:rPr>
          <w:noProof/>
        </w:rPr>
        <w:tab/>
      </w:r>
      <w:r w:rsidR="00367EA9">
        <w:rPr>
          <w:noProof/>
        </w:rPr>
        <w:fldChar w:fldCharType="begin"/>
      </w:r>
      <w:r>
        <w:rPr>
          <w:noProof/>
        </w:rPr>
        <w:instrText xml:space="preserve"> PAGEREF _Toc308511037 \h </w:instrText>
      </w:r>
      <w:r w:rsidR="00367EA9">
        <w:rPr>
          <w:noProof/>
        </w:rPr>
      </w:r>
      <w:r w:rsidR="00367EA9">
        <w:rPr>
          <w:noProof/>
        </w:rPr>
        <w:fldChar w:fldCharType="separate"/>
      </w:r>
      <w:r>
        <w:rPr>
          <w:noProof/>
        </w:rPr>
        <w:t>11</w:t>
      </w:r>
      <w:r w:rsidR="00367EA9">
        <w:rPr>
          <w:noProof/>
        </w:rPr>
        <w:fldChar w:fldCharType="end"/>
      </w:r>
    </w:p>
    <w:p w:rsidR="00692F39" w:rsidRDefault="00692F39">
      <w:pPr>
        <w:pStyle w:val="TOC2"/>
        <w:tabs>
          <w:tab w:val="right" w:leader="dot" w:pos="8630"/>
        </w:tabs>
        <w:rPr>
          <w:rFonts w:ascii="Calibri" w:hAnsi="Calibri"/>
          <w:noProof/>
          <w:sz w:val="22"/>
          <w:szCs w:val="22"/>
        </w:rPr>
      </w:pPr>
      <w:r>
        <w:rPr>
          <w:noProof/>
        </w:rPr>
        <w:t>Additions to the DEER database</w:t>
      </w:r>
      <w:r>
        <w:rPr>
          <w:noProof/>
        </w:rPr>
        <w:tab/>
      </w:r>
      <w:r w:rsidR="00367EA9">
        <w:rPr>
          <w:noProof/>
        </w:rPr>
        <w:fldChar w:fldCharType="begin"/>
      </w:r>
      <w:r>
        <w:rPr>
          <w:noProof/>
        </w:rPr>
        <w:instrText xml:space="preserve"> PAGEREF _Toc308511038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Non-residential lighting fixtures</w:t>
      </w:r>
      <w:r>
        <w:rPr>
          <w:noProof/>
        </w:rPr>
        <w:tab/>
      </w:r>
      <w:r w:rsidR="00367EA9">
        <w:rPr>
          <w:noProof/>
        </w:rPr>
        <w:fldChar w:fldCharType="begin"/>
      </w:r>
      <w:r>
        <w:rPr>
          <w:noProof/>
        </w:rPr>
        <w:instrText xml:space="preserve"> PAGEREF _Toc308511039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Updates for Code Baselines Based on EPACT and 2008 Title 24:</w:t>
      </w:r>
      <w:r>
        <w:rPr>
          <w:noProof/>
        </w:rPr>
        <w:tab/>
      </w:r>
      <w:r w:rsidR="00367EA9">
        <w:rPr>
          <w:noProof/>
        </w:rPr>
        <w:fldChar w:fldCharType="begin"/>
      </w:r>
      <w:r>
        <w:rPr>
          <w:noProof/>
        </w:rPr>
        <w:instrText xml:space="preserve"> PAGEREF _Toc308511040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Clothes washer and dishwasher measures</w:t>
      </w:r>
      <w:r>
        <w:rPr>
          <w:noProof/>
        </w:rPr>
        <w:tab/>
      </w:r>
      <w:r w:rsidR="00367EA9">
        <w:rPr>
          <w:noProof/>
        </w:rPr>
        <w:fldChar w:fldCharType="begin"/>
      </w:r>
      <w:r>
        <w:rPr>
          <w:noProof/>
        </w:rPr>
        <w:instrText xml:space="preserve"> PAGEREF _Toc308511041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Residential multi-family prototype</w:t>
      </w:r>
      <w:r>
        <w:rPr>
          <w:noProof/>
        </w:rPr>
        <w:tab/>
      </w:r>
      <w:r w:rsidR="00367EA9">
        <w:rPr>
          <w:noProof/>
        </w:rPr>
        <w:fldChar w:fldCharType="begin"/>
      </w:r>
      <w:r>
        <w:rPr>
          <w:noProof/>
        </w:rPr>
        <w:instrText xml:space="preserve"> PAGEREF _Toc308511042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lastRenderedPageBreak/>
        <w:t></w:t>
      </w:r>
      <w:r>
        <w:rPr>
          <w:rFonts w:ascii="Calibri" w:hAnsi="Calibri"/>
          <w:noProof/>
          <w:sz w:val="22"/>
          <w:szCs w:val="22"/>
        </w:rPr>
        <w:tab/>
      </w:r>
      <w:r>
        <w:rPr>
          <w:noProof/>
        </w:rPr>
        <w:t>Residential and nonresidential high efficiency heat pump measures</w:t>
      </w:r>
      <w:r>
        <w:rPr>
          <w:noProof/>
        </w:rPr>
        <w:tab/>
      </w:r>
      <w:r w:rsidR="00367EA9">
        <w:rPr>
          <w:noProof/>
        </w:rPr>
        <w:fldChar w:fldCharType="begin"/>
      </w:r>
      <w:r>
        <w:rPr>
          <w:noProof/>
        </w:rPr>
        <w:instrText xml:space="preserve"> PAGEREF _Toc308511043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Residential insulation retrofit</w:t>
      </w:r>
      <w:r>
        <w:rPr>
          <w:noProof/>
        </w:rPr>
        <w:tab/>
      </w:r>
      <w:r w:rsidR="00367EA9">
        <w:rPr>
          <w:noProof/>
        </w:rPr>
        <w:fldChar w:fldCharType="begin"/>
      </w:r>
      <w:r>
        <w:rPr>
          <w:noProof/>
        </w:rPr>
        <w:instrText xml:space="preserve"> PAGEREF _Toc308511044 \h </w:instrText>
      </w:r>
      <w:r w:rsidR="00367EA9">
        <w:rPr>
          <w:noProof/>
        </w:rPr>
      </w:r>
      <w:r w:rsidR="00367EA9">
        <w:rPr>
          <w:noProof/>
        </w:rPr>
        <w:fldChar w:fldCharType="separate"/>
      </w:r>
      <w:r>
        <w:rPr>
          <w:noProof/>
        </w:rPr>
        <w:t>12</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Agricultural greenhouse retrofit</w:t>
      </w:r>
      <w:r>
        <w:rPr>
          <w:noProof/>
        </w:rPr>
        <w:tab/>
      </w:r>
      <w:r w:rsidR="00367EA9">
        <w:rPr>
          <w:noProof/>
        </w:rPr>
        <w:fldChar w:fldCharType="begin"/>
      </w:r>
      <w:r>
        <w:rPr>
          <w:noProof/>
        </w:rPr>
        <w:instrText xml:space="preserve"> PAGEREF _Toc308511045 \h </w:instrText>
      </w:r>
      <w:r w:rsidR="00367EA9">
        <w:rPr>
          <w:noProof/>
        </w:rPr>
      </w:r>
      <w:r w:rsidR="00367EA9">
        <w:rPr>
          <w:noProof/>
        </w:rPr>
        <w:fldChar w:fldCharType="separate"/>
      </w:r>
      <w:r>
        <w:rPr>
          <w:noProof/>
        </w:rPr>
        <w:t>13</w:t>
      </w:r>
      <w:r w:rsidR="00367EA9">
        <w:rPr>
          <w:noProof/>
        </w:rPr>
        <w:fldChar w:fldCharType="end"/>
      </w:r>
    </w:p>
    <w:p w:rsidR="00692F39" w:rsidRDefault="00692F39">
      <w:pPr>
        <w:pStyle w:val="TOC3"/>
        <w:tabs>
          <w:tab w:val="left" w:pos="880"/>
          <w:tab w:val="right" w:leader="dot" w:pos="8630"/>
        </w:tabs>
        <w:rPr>
          <w:rFonts w:ascii="Calibri" w:hAnsi="Calibri"/>
          <w:noProof/>
          <w:sz w:val="22"/>
          <w:szCs w:val="22"/>
        </w:rPr>
      </w:pPr>
      <w:r w:rsidRPr="00F9708F">
        <w:rPr>
          <w:rFonts w:ascii="Symbol" w:hAnsi="Symbol"/>
          <w:noProof/>
        </w:rPr>
        <w:t></w:t>
      </w:r>
      <w:r>
        <w:rPr>
          <w:rFonts w:ascii="Calibri" w:hAnsi="Calibri"/>
          <w:noProof/>
          <w:sz w:val="22"/>
          <w:szCs w:val="22"/>
        </w:rPr>
        <w:tab/>
      </w:r>
      <w:r>
        <w:rPr>
          <w:noProof/>
        </w:rPr>
        <w:t>Select non-updated results from DEER2005 retired</w:t>
      </w:r>
      <w:r>
        <w:rPr>
          <w:noProof/>
        </w:rPr>
        <w:tab/>
      </w:r>
      <w:r w:rsidR="00367EA9">
        <w:rPr>
          <w:noProof/>
        </w:rPr>
        <w:fldChar w:fldCharType="begin"/>
      </w:r>
      <w:r>
        <w:rPr>
          <w:noProof/>
        </w:rPr>
        <w:instrText xml:space="preserve"> PAGEREF _Toc308511046 \h </w:instrText>
      </w:r>
      <w:r w:rsidR="00367EA9">
        <w:rPr>
          <w:noProof/>
        </w:rPr>
      </w:r>
      <w:r w:rsidR="00367EA9">
        <w:rPr>
          <w:noProof/>
        </w:rPr>
        <w:fldChar w:fldCharType="separate"/>
      </w:r>
      <w:r>
        <w:rPr>
          <w:noProof/>
        </w:rPr>
        <w:t>13</w:t>
      </w:r>
      <w:r w:rsidR="00367EA9">
        <w:rPr>
          <w:noProof/>
        </w:rPr>
        <w:fldChar w:fldCharType="end"/>
      </w:r>
    </w:p>
    <w:p w:rsidR="00692F39" w:rsidRDefault="00692F39">
      <w:pPr>
        <w:pStyle w:val="TOC2"/>
        <w:tabs>
          <w:tab w:val="right" w:leader="dot" w:pos="8630"/>
        </w:tabs>
        <w:rPr>
          <w:rFonts w:ascii="Calibri" w:hAnsi="Calibri"/>
          <w:noProof/>
          <w:sz w:val="22"/>
          <w:szCs w:val="22"/>
        </w:rPr>
      </w:pPr>
      <w:r>
        <w:rPr>
          <w:noProof/>
        </w:rPr>
        <w:t>Changes to the DEER database Structure</w:t>
      </w:r>
      <w:r>
        <w:rPr>
          <w:noProof/>
        </w:rPr>
        <w:tab/>
      </w:r>
      <w:r w:rsidR="00367EA9">
        <w:rPr>
          <w:noProof/>
        </w:rPr>
        <w:fldChar w:fldCharType="begin"/>
      </w:r>
      <w:r>
        <w:rPr>
          <w:noProof/>
        </w:rPr>
        <w:instrText xml:space="preserve"> PAGEREF _Toc308511047 \h </w:instrText>
      </w:r>
      <w:r w:rsidR="00367EA9">
        <w:rPr>
          <w:noProof/>
        </w:rPr>
      </w:r>
      <w:r w:rsidR="00367EA9">
        <w:rPr>
          <w:noProof/>
        </w:rPr>
        <w:fldChar w:fldCharType="separate"/>
      </w:r>
      <w:r>
        <w:rPr>
          <w:noProof/>
        </w:rPr>
        <w:t>13</w:t>
      </w:r>
      <w:r w:rsidR="00367EA9">
        <w:rPr>
          <w:noProof/>
        </w:rPr>
        <w:fldChar w:fldCharType="end"/>
      </w:r>
    </w:p>
    <w:p w:rsidR="00692F39" w:rsidRDefault="00692F39">
      <w:pPr>
        <w:pStyle w:val="TOC2"/>
        <w:tabs>
          <w:tab w:val="right" w:leader="dot" w:pos="8630"/>
        </w:tabs>
        <w:rPr>
          <w:rFonts w:ascii="Calibri" w:hAnsi="Calibri"/>
          <w:noProof/>
          <w:sz w:val="22"/>
          <w:szCs w:val="22"/>
        </w:rPr>
      </w:pPr>
      <w:r>
        <w:rPr>
          <w:noProof/>
        </w:rPr>
        <w:t>Changes to the DEER Results</w:t>
      </w:r>
      <w:r>
        <w:rPr>
          <w:noProof/>
        </w:rPr>
        <w:tab/>
      </w:r>
      <w:r w:rsidR="00367EA9">
        <w:rPr>
          <w:noProof/>
        </w:rPr>
        <w:fldChar w:fldCharType="begin"/>
      </w:r>
      <w:r>
        <w:rPr>
          <w:noProof/>
        </w:rPr>
        <w:instrText xml:space="preserve"> PAGEREF _Toc308511048 \h </w:instrText>
      </w:r>
      <w:r w:rsidR="00367EA9">
        <w:rPr>
          <w:noProof/>
        </w:rPr>
      </w:r>
      <w:r w:rsidR="00367EA9">
        <w:rPr>
          <w:noProof/>
        </w:rPr>
        <w:fldChar w:fldCharType="separate"/>
      </w:r>
      <w:r>
        <w:rPr>
          <w:noProof/>
        </w:rPr>
        <w:t>14</w:t>
      </w:r>
      <w:r w:rsidR="00367EA9">
        <w:rPr>
          <w:noProof/>
        </w:rPr>
        <w:fldChar w:fldCharType="end"/>
      </w:r>
    </w:p>
    <w:p w:rsidR="00692F39" w:rsidRDefault="00692F39">
      <w:pPr>
        <w:pStyle w:val="TOC2"/>
        <w:tabs>
          <w:tab w:val="right" w:leader="dot" w:pos="8630"/>
        </w:tabs>
        <w:rPr>
          <w:rFonts w:ascii="Calibri" w:hAnsi="Calibri"/>
          <w:noProof/>
          <w:sz w:val="22"/>
          <w:szCs w:val="22"/>
        </w:rPr>
      </w:pPr>
      <w:r>
        <w:rPr>
          <w:noProof/>
        </w:rPr>
        <w:t>Appendix – Lighting Operating Hours and Coincident Demand Factors</w:t>
      </w:r>
      <w:r>
        <w:rPr>
          <w:noProof/>
        </w:rPr>
        <w:tab/>
      </w:r>
      <w:r w:rsidR="00367EA9">
        <w:rPr>
          <w:noProof/>
        </w:rPr>
        <w:fldChar w:fldCharType="begin"/>
      </w:r>
      <w:r>
        <w:rPr>
          <w:noProof/>
        </w:rPr>
        <w:instrText xml:space="preserve"> PAGEREF _Toc308511049 \h </w:instrText>
      </w:r>
      <w:r w:rsidR="00367EA9">
        <w:rPr>
          <w:noProof/>
        </w:rPr>
      </w:r>
      <w:r w:rsidR="00367EA9">
        <w:rPr>
          <w:noProof/>
        </w:rPr>
        <w:fldChar w:fldCharType="separate"/>
      </w:r>
      <w:r>
        <w:rPr>
          <w:noProof/>
        </w:rPr>
        <w:t>24</w:t>
      </w:r>
      <w:r w:rsidR="00367EA9">
        <w:rPr>
          <w:noProof/>
        </w:rPr>
        <w:fldChar w:fldCharType="end"/>
      </w:r>
    </w:p>
    <w:p w:rsidR="00692F39" w:rsidRDefault="00692F39">
      <w:pPr>
        <w:pStyle w:val="TOC2"/>
        <w:tabs>
          <w:tab w:val="right" w:leader="dot" w:pos="8630"/>
        </w:tabs>
        <w:rPr>
          <w:rFonts w:ascii="Calibri" w:hAnsi="Calibri"/>
          <w:noProof/>
          <w:sz w:val="22"/>
          <w:szCs w:val="22"/>
        </w:rPr>
      </w:pPr>
      <w:r>
        <w:rPr>
          <w:noProof/>
        </w:rPr>
        <w:t>Appendix – Status of 2005 DEER Measures</w:t>
      </w:r>
      <w:r>
        <w:rPr>
          <w:noProof/>
        </w:rPr>
        <w:tab/>
      </w:r>
      <w:r w:rsidR="00367EA9">
        <w:rPr>
          <w:noProof/>
        </w:rPr>
        <w:fldChar w:fldCharType="begin"/>
      </w:r>
      <w:r>
        <w:rPr>
          <w:noProof/>
        </w:rPr>
        <w:instrText xml:space="preserve"> PAGEREF _Toc308511050 \h </w:instrText>
      </w:r>
      <w:r w:rsidR="00367EA9">
        <w:rPr>
          <w:noProof/>
        </w:rPr>
      </w:r>
      <w:r w:rsidR="00367EA9">
        <w:rPr>
          <w:noProof/>
        </w:rPr>
        <w:fldChar w:fldCharType="separate"/>
      </w:r>
      <w:r>
        <w:rPr>
          <w:noProof/>
        </w:rPr>
        <w:t>26</w:t>
      </w:r>
      <w:r w:rsidR="00367EA9">
        <w:rPr>
          <w:noProof/>
        </w:rPr>
        <w:fldChar w:fldCharType="end"/>
      </w:r>
    </w:p>
    <w:p w:rsidR="007135BB" w:rsidRDefault="00367EA9">
      <w:r>
        <w:fldChar w:fldCharType="end"/>
      </w:r>
    </w:p>
    <w:p w:rsidR="004927F4" w:rsidRDefault="007135BB">
      <w:pPr>
        <w:pStyle w:val="Heading2"/>
      </w:pPr>
      <w:r>
        <w:br w:type="page"/>
      </w:r>
      <w:bookmarkStart w:id="7" w:name="_Toc308511022"/>
      <w:r w:rsidR="00384A2B">
        <w:lastRenderedPageBreak/>
        <w:t>Changes to the MAS tool</w:t>
      </w:r>
      <w:bookmarkEnd w:id="7"/>
    </w:p>
    <w:p w:rsidR="004927F4" w:rsidRDefault="004927F4">
      <w:r>
        <w:t xml:space="preserve">The changes described </w:t>
      </w:r>
      <w:r w:rsidR="00384A2B">
        <w:t>here</w:t>
      </w:r>
      <w:r>
        <w:t xml:space="preserve"> are </w:t>
      </w:r>
      <w:r w:rsidR="00384A2B">
        <w:t xml:space="preserve">typically </w:t>
      </w:r>
      <w:r>
        <w:t xml:space="preserve">due to errors discovered in the previous MAS tool. </w:t>
      </w:r>
      <w:r w:rsidR="00384A2B">
        <w:t xml:space="preserve"> Some of the errors were simply incorrect building prototype specifications, such as an incorrect schedule or an inappropriate equipment size.  </w:t>
      </w:r>
      <w:r w:rsidR="00F024E0">
        <w:t>Other fixes were made in order to make the calculation of demand impacts more robust.</w:t>
      </w:r>
    </w:p>
    <w:p w:rsidR="004927F4" w:rsidRDefault="004927F4"/>
    <w:p w:rsidR="004927F4" w:rsidRDefault="004927F4">
      <w:pPr>
        <w:ind w:left="720"/>
        <w:rPr>
          <w:rFonts w:ascii="Arial" w:hAnsi="Arial" w:cs="Arial"/>
          <w:color w:val="0000FF"/>
          <w:sz w:val="20"/>
          <w:szCs w:val="20"/>
        </w:rPr>
      </w:pPr>
      <w:bookmarkStart w:id="8" w:name="OfficeLight"/>
      <w:bookmarkStart w:id="9" w:name="_Toc308511023"/>
      <w:bookmarkEnd w:id="8"/>
      <w:r>
        <w:rPr>
          <w:rStyle w:val="Heading3Char"/>
          <w:rFonts w:cs="Arial"/>
          <w:bCs/>
          <w:szCs w:val="26"/>
        </w:rPr>
        <w:t>Large Office primary lighting schedule</w:t>
      </w:r>
      <w:bookmarkEnd w:id="9"/>
    </w:p>
    <w:p w:rsidR="004927F4" w:rsidRDefault="004927F4">
      <w:pPr>
        <w:ind w:left="720"/>
        <w:rPr>
          <w:rFonts w:ascii="Arial" w:hAnsi="Arial" w:cs="Arial"/>
          <w:sz w:val="20"/>
          <w:szCs w:val="20"/>
        </w:rPr>
      </w:pPr>
      <w:r>
        <w:rPr>
          <w:rFonts w:ascii="Arial" w:hAnsi="Arial" w:cs="Arial"/>
          <w:sz w:val="20"/>
          <w:szCs w:val="20"/>
        </w:rPr>
        <w:t>The primary lighting schedule associated with linear fluorescent fixtures had been (incorrectly) set to the secondary schedule associated with CFL fixtures.  The result was that the linear fluorescent fixtures were “on” more hours than intended, but with a decreased coincident demand.  The end-use demand impacts increased by 14% due to this change while the annual electric end-use impacts decreased by 10%.</w:t>
      </w:r>
      <w:r w:rsidR="004131BA">
        <w:rPr>
          <w:rFonts w:ascii="Arial" w:hAnsi="Arial" w:cs="Arial"/>
          <w:sz w:val="20"/>
          <w:szCs w:val="20"/>
        </w:rPr>
        <w:t xml:space="preserve"> The table under the next heading provides the complete listing of lighting operating hours by building type and lighting technology type.</w:t>
      </w:r>
    </w:p>
    <w:p w:rsidR="004927F4" w:rsidRDefault="004927F4">
      <w:pPr>
        <w:ind w:left="720"/>
        <w:rPr>
          <w:rFonts w:ascii="Arial" w:hAnsi="Arial" w:cs="Arial"/>
          <w:color w:val="0000FF"/>
          <w:sz w:val="20"/>
          <w:szCs w:val="20"/>
        </w:rPr>
      </w:pPr>
    </w:p>
    <w:p w:rsidR="004131BA" w:rsidRDefault="004131BA" w:rsidP="004131BA">
      <w:pPr>
        <w:ind w:left="720"/>
        <w:rPr>
          <w:rFonts w:ascii="Arial" w:hAnsi="Arial" w:cs="Arial"/>
          <w:color w:val="0000FF"/>
          <w:sz w:val="20"/>
          <w:szCs w:val="20"/>
        </w:rPr>
      </w:pPr>
      <w:bookmarkStart w:id="10" w:name="_Toc308511024"/>
      <w:r>
        <w:rPr>
          <w:rStyle w:val="Heading3Char"/>
          <w:rFonts w:cs="Arial"/>
          <w:bCs/>
          <w:szCs w:val="26"/>
        </w:rPr>
        <w:t>Nonresidential indoor lighting operating hours and coincident demand factors</w:t>
      </w:r>
      <w:bookmarkEnd w:id="10"/>
    </w:p>
    <w:p w:rsidR="004131BA" w:rsidRDefault="004131BA" w:rsidP="004131BA">
      <w:pPr>
        <w:ind w:left="720"/>
        <w:rPr>
          <w:rFonts w:ascii="Arial" w:hAnsi="Arial" w:cs="Arial"/>
          <w:sz w:val="20"/>
          <w:szCs w:val="20"/>
        </w:rPr>
      </w:pPr>
      <w:r>
        <w:rPr>
          <w:rFonts w:ascii="Arial" w:hAnsi="Arial" w:cs="Arial"/>
          <w:sz w:val="20"/>
          <w:szCs w:val="20"/>
        </w:rPr>
        <w:t>All lighting UES values are now based on a consistent set of lighting operating hours and coincident demand factors (CDFs) for the entire building. Whole building operating hours and CDFs had previously been provided by activity area within each DEER building type. The operating hours and CDFs provided in the tables below are exact values, calculated from the energy simulation results using the following relationship:</w:t>
      </w:r>
    </w:p>
    <w:p w:rsidR="004131BA" w:rsidRDefault="004131BA" w:rsidP="004131BA">
      <w:pPr>
        <w:ind w:left="720"/>
        <w:rPr>
          <w:rFonts w:ascii="Arial" w:hAnsi="Arial" w:cs="Arial"/>
          <w:sz w:val="20"/>
          <w:szCs w:val="20"/>
        </w:rPr>
      </w:pPr>
    </w:p>
    <w:tbl>
      <w:tblPr>
        <w:tblW w:w="0" w:type="auto"/>
        <w:tblLook w:val="04A0" w:firstRow="1" w:lastRow="0" w:firstColumn="1" w:lastColumn="0" w:noHBand="0" w:noVBand="1"/>
      </w:tblPr>
      <w:tblGrid>
        <w:gridCol w:w="2268"/>
        <w:gridCol w:w="4500"/>
      </w:tblGrid>
      <w:tr w:rsidR="004131BA" w:rsidRPr="00BC22B4" w:rsidTr="00BC22B4">
        <w:tc>
          <w:tcPr>
            <w:tcW w:w="2268" w:type="dxa"/>
            <w:vMerge w:val="restart"/>
          </w:tcPr>
          <w:p w:rsidR="004131BA" w:rsidRPr="00BC22B4" w:rsidRDefault="004131BA" w:rsidP="00BC22B4">
            <w:pPr>
              <w:jc w:val="right"/>
              <w:rPr>
                <w:i/>
                <w:sz w:val="20"/>
                <w:szCs w:val="20"/>
              </w:rPr>
            </w:pPr>
            <w:r w:rsidRPr="00BC22B4">
              <w:rPr>
                <w:i/>
                <w:sz w:val="20"/>
                <w:szCs w:val="20"/>
              </w:rPr>
              <w:t>Operating Hours =</w:t>
            </w:r>
          </w:p>
        </w:tc>
        <w:tc>
          <w:tcPr>
            <w:tcW w:w="4500" w:type="dxa"/>
          </w:tcPr>
          <w:p w:rsidR="004131BA" w:rsidRPr="00BC22B4" w:rsidRDefault="004131BA" w:rsidP="004131BA">
            <w:pPr>
              <w:rPr>
                <w:i/>
                <w:sz w:val="20"/>
                <w:szCs w:val="20"/>
              </w:rPr>
            </w:pPr>
            <w:r w:rsidRPr="00BC22B4">
              <w:rPr>
                <w:i/>
                <w:sz w:val="20"/>
                <w:szCs w:val="20"/>
              </w:rPr>
              <w:t xml:space="preserve">Whole Building </w:t>
            </w:r>
            <w:proofErr w:type="spellStart"/>
            <w:r w:rsidRPr="00BC22B4">
              <w:rPr>
                <w:i/>
                <w:sz w:val="20"/>
                <w:szCs w:val="20"/>
              </w:rPr>
              <w:t>kWH</w:t>
            </w:r>
            <w:proofErr w:type="spellEnd"/>
            <w:r w:rsidRPr="00BC22B4">
              <w:rPr>
                <w:i/>
                <w:sz w:val="20"/>
                <w:szCs w:val="20"/>
              </w:rPr>
              <w:t xml:space="preserve"> Lighting Savings</w:t>
            </w:r>
          </w:p>
        </w:tc>
      </w:tr>
      <w:tr w:rsidR="004131BA" w:rsidRPr="00BC22B4" w:rsidTr="00BC22B4">
        <w:tc>
          <w:tcPr>
            <w:tcW w:w="2268" w:type="dxa"/>
            <w:vMerge/>
          </w:tcPr>
          <w:p w:rsidR="004131BA" w:rsidRPr="00BC22B4" w:rsidRDefault="004131BA" w:rsidP="004131BA">
            <w:pPr>
              <w:rPr>
                <w:i/>
                <w:sz w:val="20"/>
                <w:szCs w:val="20"/>
              </w:rPr>
            </w:pPr>
          </w:p>
        </w:tc>
        <w:tc>
          <w:tcPr>
            <w:tcW w:w="4500" w:type="dxa"/>
          </w:tcPr>
          <w:p w:rsidR="004131BA" w:rsidRPr="00BC22B4" w:rsidRDefault="004131BA" w:rsidP="004131BA">
            <w:pPr>
              <w:rPr>
                <w:i/>
                <w:sz w:val="20"/>
                <w:szCs w:val="20"/>
              </w:rPr>
            </w:pPr>
            <w:r w:rsidRPr="00BC22B4">
              <w:rPr>
                <w:i/>
                <w:sz w:val="20"/>
                <w:szCs w:val="20"/>
              </w:rPr>
              <w:t>Whole Building Connected Lighting kW Reduction</w:t>
            </w:r>
          </w:p>
        </w:tc>
      </w:tr>
    </w:tbl>
    <w:p w:rsidR="004131BA" w:rsidRDefault="004131BA" w:rsidP="004131BA">
      <w:pPr>
        <w:ind w:left="720"/>
        <w:rPr>
          <w:rFonts w:ascii="Arial" w:hAnsi="Arial" w:cs="Arial"/>
          <w:sz w:val="20"/>
          <w:szCs w:val="20"/>
        </w:rPr>
      </w:pPr>
    </w:p>
    <w:p w:rsidR="004131BA" w:rsidRDefault="004131BA" w:rsidP="004131BA">
      <w:pPr>
        <w:ind w:left="720"/>
        <w:rPr>
          <w:rFonts w:ascii="Arial" w:hAnsi="Arial" w:cs="Arial"/>
          <w:sz w:val="20"/>
          <w:szCs w:val="20"/>
        </w:rPr>
      </w:pPr>
      <w:r>
        <w:rPr>
          <w:rFonts w:ascii="Arial" w:hAnsi="Arial" w:cs="Arial"/>
          <w:sz w:val="20"/>
          <w:szCs w:val="20"/>
        </w:rPr>
        <w:t>The 2008 DEER update documentation included a table of operating hours by activity area within each DEER building type. These values were an approximation of operating hours based on hand calculations of each daily profile to an entire year and were not accurate for some building types. Additionally the table in the 2008 DEER update documentation did not include operating hours for the entire building</w:t>
      </w:r>
      <w:r w:rsidR="00FC68FD">
        <w:rPr>
          <w:rFonts w:ascii="Arial" w:hAnsi="Arial" w:cs="Arial"/>
          <w:sz w:val="20"/>
          <w:szCs w:val="20"/>
        </w:rPr>
        <w:t xml:space="preserve">. </w:t>
      </w:r>
      <w:r w:rsidR="00F15986">
        <w:rPr>
          <w:rFonts w:ascii="Arial" w:hAnsi="Arial" w:cs="Arial"/>
          <w:sz w:val="20"/>
          <w:szCs w:val="20"/>
        </w:rPr>
        <w:t>DEER v4.00 requires t</w:t>
      </w:r>
      <w:r w:rsidR="00FC68FD">
        <w:rPr>
          <w:rFonts w:ascii="Arial" w:hAnsi="Arial" w:cs="Arial"/>
          <w:sz w:val="20"/>
          <w:szCs w:val="20"/>
        </w:rPr>
        <w:t xml:space="preserve">he following tables as well as the complete tables of CDFs included in the appendix </w:t>
      </w:r>
      <w:r w:rsidR="00F15986">
        <w:rPr>
          <w:rFonts w:ascii="Arial" w:hAnsi="Arial" w:cs="Arial"/>
          <w:sz w:val="20"/>
          <w:szCs w:val="20"/>
        </w:rPr>
        <w:t>to</w:t>
      </w:r>
      <w:r w:rsidR="00FC68FD">
        <w:rPr>
          <w:rFonts w:ascii="Arial" w:hAnsi="Arial" w:cs="Arial"/>
          <w:sz w:val="20"/>
          <w:szCs w:val="20"/>
        </w:rPr>
        <w:t xml:space="preserve"> be used for calculating lighting UES values for DEER building types.</w:t>
      </w:r>
    </w:p>
    <w:p w:rsidR="004131BA" w:rsidRDefault="004131BA" w:rsidP="004131BA">
      <w:pPr>
        <w:pStyle w:val="Caption"/>
        <w:keepNext/>
        <w:ind w:left="720"/>
      </w:pPr>
      <w:r>
        <w:rPr>
          <w:noProof/>
        </w:rPr>
        <w:lastRenderedPageBreak/>
        <w:t>DEER v4.00 Linear Fluorescent and High Bay Opereating Hours</w:t>
      </w:r>
    </w:p>
    <w:p w:rsidR="004131BA" w:rsidRDefault="00917155" w:rsidP="004131BA">
      <w:pPr>
        <w:ind w:left="720"/>
        <w:rPr>
          <w:szCs w:val="20"/>
        </w:rPr>
      </w:pPr>
      <w:r>
        <w:rPr>
          <w:noProof/>
          <w:szCs w:val="20"/>
        </w:rPr>
        <w:drawing>
          <wp:inline distT="0" distB="0" distL="0" distR="0">
            <wp:extent cx="3285490" cy="50615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285490" cy="5061585"/>
                    </a:xfrm>
                    <a:prstGeom prst="rect">
                      <a:avLst/>
                    </a:prstGeom>
                    <a:noFill/>
                    <a:ln w="9525">
                      <a:noFill/>
                      <a:miter lim="800000"/>
                      <a:headEnd/>
                      <a:tailEnd/>
                    </a:ln>
                  </pic:spPr>
                </pic:pic>
              </a:graphicData>
            </a:graphic>
          </wp:inline>
        </w:drawing>
      </w:r>
    </w:p>
    <w:p w:rsidR="00FC68FD" w:rsidRDefault="00FC68FD" w:rsidP="00FC68FD">
      <w:pPr>
        <w:ind w:left="900" w:hanging="180"/>
        <w:rPr>
          <w:rFonts w:ascii="Calibri" w:hAnsi="Calibri"/>
          <w:sz w:val="16"/>
          <w:szCs w:val="16"/>
        </w:rPr>
      </w:pPr>
      <w:r>
        <w:rPr>
          <w:rFonts w:ascii="Calibri" w:hAnsi="Calibri"/>
          <w:sz w:val="16"/>
          <w:szCs w:val="16"/>
        </w:rPr>
        <w:t>*</w:t>
      </w:r>
      <w:r>
        <w:rPr>
          <w:rFonts w:ascii="Calibri" w:hAnsi="Calibri"/>
          <w:sz w:val="16"/>
          <w:szCs w:val="16"/>
        </w:rPr>
        <w:tab/>
        <w:t>CDF values presented in ranges have different CDFs by climate zone.</w:t>
      </w:r>
    </w:p>
    <w:p w:rsidR="004131BA" w:rsidRPr="00FC68FD" w:rsidRDefault="00FC68FD" w:rsidP="00FC68FD">
      <w:pPr>
        <w:ind w:left="900" w:hanging="180"/>
        <w:rPr>
          <w:rFonts w:ascii="Calibri" w:hAnsi="Calibri"/>
          <w:sz w:val="16"/>
          <w:szCs w:val="16"/>
        </w:rPr>
      </w:pPr>
      <w:r>
        <w:rPr>
          <w:rFonts w:ascii="Calibri" w:hAnsi="Calibri"/>
          <w:sz w:val="16"/>
          <w:szCs w:val="16"/>
        </w:rPr>
        <w:tab/>
        <w:t>Refer to the appendix for complete list of CDFs</w:t>
      </w:r>
    </w:p>
    <w:p w:rsidR="004131BA" w:rsidRDefault="004131BA" w:rsidP="004131BA">
      <w:pPr>
        <w:pStyle w:val="Caption"/>
        <w:keepNext/>
        <w:ind w:left="720"/>
      </w:pPr>
      <w:r>
        <w:lastRenderedPageBreak/>
        <w:t>DEER v4.00 Compact Fluorescent Lamp Operating Hours</w:t>
      </w:r>
    </w:p>
    <w:p w:rsidR="004131BA" w:rsidRDefault="00917155" w:rsidP="004131BA">
      <w:pPr>
        <w:ind w:left="720"/>
        <w:rPr>
          <w:rFonts w:ascii="Arial" w:hAnsi="Arial" w:cs="Arial"/>
          <w:sz w:val="20"/>
          <w:szCs w:val="20"/>
        </w:rPr>
      </w:pPr>
      <w:r>
        <w:rPr>
          <w:noProof/>
          <w:szCs w:val="20"/>
        </w:rPr>
        <w:drawing>
          <wp:inline distT="0" distB="0" distL="0" distR="0">
            <wp:extent cx="3285490" cy="506158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285490" cy="5061585"/>
                    </a:xfrm>
                    <a:prstGeom prst="rect">
                      <a:avLst/>
                    </a:prstGeom>
                    <a:noFill/>
                    <a:ln w="9525">
                      <a:noFill/>
                      <a:miter lim="800000"/>
                      <a:headEnd/>
                      <a:tailEnd/>
                    </a:ln>
                  </pic:spPr>
                </pic:pic>
              </a:graphicData>
            </a:graphic>
          </wp:inline>
        </w:drawing>
      </w:r>
    </w:p>
    <w:p w:rsidR="00FC68FD" w:rsidRDefault="00FC68FD" w:rsidP="00FC68FD">
      <w:pPr>
        <w:ind w:left="900" w:hanging="180"/>
        <w:rPr>
          <w:rFonts w:ascii="Calibri" w:hAnsi="Calibri"/>
          <w:sz w:val="16"/>
          <w:szCs w:val="16"/>
        </w:rPr>
      </w:pPr>
      <w:r>
        <w:rPr>
          <w:rFonts w:ascii="Calibri" w:hAnsi="Calibri"/>
          <w:sz w:val="16"/>
          <w:szCs w:val="16"/>
        </w:rPr>
        <w:t>*</w:t>
      </w:r>
      <w:r>
        <w:rPr>
          <w:rFonts w:ascii="Calibri" w:hAnsi="Calibri"/>
          <w:sz w:val="16"/>
          <w:szCs w:val="16"/>
        </w:rPr>
        <w:tab/>
        <w:t>CDF values presented in ranges have different CDFs by climate zone.</w:t>
      </w:r>
    </w:p>
    <w:p w:rsidR="00FC68FD" w:rsidRPr="00FC68FD" w:rsidRDefault="00FC68FD" w:rsidP="00FC68FD">
      <w:pPr>
        <w:ind w:left="900" w:hanging="180"/>
        <w:rPr>
          <w:rFonts w:ascii="Calibri" w:hAnsi="Calibri"/>
          <w:sz w:val="16"/>
          <w:szCs w:val="16"/>
        </w:rPr>
      </w:pPr>
      <w:r>
        <w:rPr>
          <w:rFonts w:ascii="Calibri" w:hAnsi="Calibri"/>
          <w:sz w:val="16"/>
          <w:szCs w:val="16"/>
        </w:rPr>
        <w:tab/>
        <w:t>Refer to the appendix for complete list of CDFs</w:t>
      </w:r>
    </w:p>
    <w:p w:rsidR="004131BA" w:rsidRDefault="004131BA" w:rsidP="004131BA">
      <w:pPr>
        <w:ind w:left="720"/>
        <w:rPr>
          <w:rFonts w:ascii="Arial" w:hAnsi="Arial" w:cs="Arial"/>
          <w:sz w:val="20"/>
          <w:szCs w:val="20"/>
        </w:rPr>
      </w:pPr>
    </w:p>
    <w:p w:rsidR="004131BA" w:rsidRDefault="004131BA" w:rsidP="004131BA">
      <w:pPr>
        <w:ind w:left="720"/>
        <w:rPr>
          <w:rFonts w:ascii="Arial" w:hAnsi="Arial" w:cs="Arial"/>
          <w:color w:val="0000FF"/>
          <w:sz w:val="20"/>
          <w:szCs w:val="20"/>
        </w:rPr>
      </w:pPr>
    </w:p>
    <w:p w:rsidR="004927F4" w:rsidRDefault="004927F4">
      <w:pPr>
        <w:ind w:left="720"/>
        <w:rPr>
          <w:rFonts w:ascii="Arial" w:hAnsi="Arial" w:cs="Arial"/>
          <w:color w:val="0000FF"/>
          <w:sz w:val="20"/>
          <w:szCs w:val="20"/>
        </w:rPr>
      </w:pPr>
      <w:bookmarkStart w:id="11" w:name="Boiler"/>
      <w:bookmarkStart w:id="12" w:name="_Toc308511025"/>
      <w:bookmarkEnd w:id="11"/>
      <w:r>
        <w:rPr>
          <w:rStyle w:val="Heading3Char"/>
          <w:rFonts w:cs="Arial"/>
          <w:bCs/>
          <w:szCs w:val="26"/>
        </w:rPr>
        <w:t>Boiler Sizing</w:t>
      </w:r>
      <w:bookmarkEnd w:id="12"/>
    </w:p>
    <w:p w:rsidR="004927F4" w:rsidRDefault="004927F4">
      <w:pPr>
        <w:ind w:left="720"/>
        <w:rPr>
          <w:rFonts w:ascii="Arial" w:hAnsi="Arial" w:cs="Arial"/>
          <w:sz w:val="20"/>
          <w:szCs w:val="20"/>
        </w:rPr>
      </w:pPr>
      <w:r>
        <w:rPr>
          <w:rFonts w:ascii="Arial" w:hAnsi="Arial" w:cs="Arial"/>
          <w:sz w:val="20"/>
          <w:szCs w:val="20"/>
        </w:rPr>
        <w:t xml:space="preserve">The sizing method used for the HVAC boilers resulted in boilers over-sized by 50 - 100% in the older vintage buildings.  The performance of these boilers operating at low part-load caused an over-statement of the heating energy required to compensate for reduced internal loads (such as associated with indoor lighting measures).  </w:t>
      </w:r>
    </w:p>
    <w:p w:rsidR="004927F4" w:rsidRDefault="004927F4">
      <w:pPr>
        <w:ind w:left="720"/>
        <w:rPr>
          <w:rFonts w:ascii="Arial" w:hAnsi="Arial" w:cs="Arial"/>
          <w:sz w:val="20"/>
          <w:szCs w:val="20"/>
        </w:rPr>
      </w:pPr>
    </w:p>
    <w:p w:rsidR="004927F4" w:rsidRDefault="004927F4">
      <w:pPr>
        <w:ind w:left="720"/>
        <w:rPr>
          <w:rFonts w:ascii="Arial" w:hAnsi="Arial" w:cs="Arial"/>
          <w:color w:val="0000FF"/>
          <w:sz w:val="20"/>
          <w:szCs w:val="20"/>
        </w:rPr>
      </w:pPr>
      <w:bookmarkStart w:id="13" w:name="_Toc308511026"/>
      <w:r>
        <w:rPr>
          <w:rStyle w:val="Heading3Char"/>
          <w:rFonts w:cs="Arial"/>
          <w:bCs/>
          <w:szCs w:val="26"/>
        </w:rPr>
        <w:t>Hot Water Storage Heater Sizing</w:t>
      </w:r>
      <w:bookmarkEnd w:id="13"/>
    </w:p>
    <w:p w:rsidR="004927F4" w:rsidRDefault="004927F4">
      <w:pPr>
        <w:ind w:left="720"/>
        <w:rPr>
          <w:rFonts w:ascii="Arial" w:hAnsi="Arial" w:cs="Arial"/>
          <w:color w:val="0000FF"/>
          <w:sz w:val="20"/>
          <w:szCs w:val="20"/>
        </w:rPr>
      </w:pPr>
      <w:r>
        <w:rPr>
          <w:rFonts w:ascii="Arial" w:hAnsi="Arial" w:cs="Arial"/>
          <w:sz w:val="20"/>
          <w:szCs w:val="20"/>
        </w:rPr>
        <w:t>The size of the commercial hot water storage heaters was increased by 25% to account for lower mains water temperature in the winter months.  In some building types and in some climate zones, the demand for water heating exceeded the specified capacity for long periods of time.</w:t>
      </w:r>
    </w:p>
    <w:p w:rsidR="00CD67AF" w:rsidRDefault="00CD67AF" w:rsidP="00CD67AF">
      <w:pPr>
        <w:pStyle w:val="Heading3"/>
        <w:ind w:left="720"/>
      </w:pPr>
      <w:bookmarkStart w:id="14" w:name="PHVAC"/>
      <w:bookmarkStart w:id="15" w:name="_Toc308511027"/>
      <w:bookmarkEnd w:id="14"/>
      <w:r>
        <w:t>Packaged HVAC specifications</w:t>
      </w:r>
      <w:bookmarkEnd w:id="15"/>
    </w:p>
    <w:p w:rsidR="00CD67AF" w:rsidRDefault="00CD67AF" w:rsidP="00CD67AF">
      <w:pPr>
        <w:ind w:left="720"/>
        <w:rPr>
          <w:rFonts w:ascii="Arial" w:hAnsi="Arial" w:cs="Arial"/>
          <w:sz w:val="20"/>
          <w:szCs w:val="20"/>
        </w:rPr>
      </w:pPr>
      <w:r>
        <w:rPr>
          <w:rFonts w:ascii="Arial" w:hAnsi="Arial" w:cs="Arial"/>
          <w:sz w:val="20"/>
          <w:szCs w:val="20"/>
        </w:rPr>
        <w:t xml:space="preserve">The single-phase and three-phase distinction for SEER-rated packaged HVAC equipment (SEER 12, 13 and 14) has been eliminated.  There are still entries in the </w:t>
      </w:r>
      <w:r>
        <w:rPr>
          <w:rFonts w:ascii="Arial" w:hAnsi="Arial" w:cs="Arial"/>
          <w:sz w:val="20"/>
          <w:szCs w:val="20"/>
        </w:rPr>
        <w:lastRenderedPageBreak/>
        <w:t>database for three-phase units, but their performance and energy impact results are the same as for the units that do not specify the phase distinction.</w:t>
      </w:r>
    </w:p>
    <w:p w:rsidR="00CD67AF" w:rsidRDefault="00CD67AF" w:rsidP="00CD67AF">
      <w:pPr>
        <w:ind w:left="720"/>
        <w:rPr>
          <w:rFonts w:ascii="Arial" w:hAnsi="Arial" w:cs="Arial"/>
          <w:sz w:val="20"/>
          <w:szCs w:val="20"/>
        </w:rPr>
      </w:pPr>
    </w:p>
    <w:p w:rsidR="00CD67AF" w:rsidRDefault="00CD67AF" w:rsidP="00CD67AF">
      <w:pPr>
        <w:ind w:left="720"/>
        <w:rPr>
          <w:rFonts w:ascii="Arial" w:hAnsi="Arial" w:cs="Arial"/>
          <w:sz w:val="20"/>
          <w:szCs w:val="20"/>
        </w:rPr>
      </w:pPr>
      <w:r>
        <w:rPr>
          <w:rFonts w:ascii="Arial" w:hAnsi="Arial" w:cs="Arial"/>
          <w:sz w:val="20"/>
          <w:szCs w:val="20"/>
        </w:rPr>
        <w:t xml:space="preserve">Revisions to the CEE tier 1, 2 and 3 efficiency levels have affected the EER rating of three packaged HVAC measures.  The 10 EER </w:t>
      </w:r>
      <w:proofErr w:type="gramStart"/>
      <w:r>
        <w:rPr>
          <w:rFonts w:ascii="Arial" w:hAnsi="Arial" w:cs="Arial"/>
          <w:sz w:val="20"/>
          <w:szCs w:val="20"/>
        </w:rPr>
        <w:t>unit</w:t>
      </w:r>
      <w:proofErr w:type="gramEnd"/>
      <w:r>
        <w:rPr>
          <w:rFonts w:ascii="Arial" w:hAnsi="Arial" w:cs="Arial"/>
          <w:sz w:val="20"/>
          <w:szCs w:val="20"/>
        </w:rPr>
        <w:t xml:space="preserve"> in the size range from 240 – 760 </w:t>
      </w:r>
      <w:proofErr w:type="spellStart"/>
      <w:r>
        <w:rPr>
          <w:rFonts w:ascii="Arial" w:hAnsi="Arial" w:cs="Arial"/>
          <w:sz w:val="20"/>
          <w:szCs w:val="20"/>
        </w:rPr>
        <w:t>kBTU</w:t>
      </w:r>
      <w:proofErr w:type="spellEnd"/>
      <w:r>
        <w:rPr>
          <w:rFonts w:ascii="Arial" w:hAnsi="Arial" w:cs="Arial"/>
          <w:sz w:val="20"/>
          <w:szCs w:val="20"/>
        </w:rPr>
        <w:t>/</w:t>
      </w:r>
      <w:proofErr w:type="spellStart"/>
      <w:r>
        <w:rPr>
          <w:rFonts w:ascii="Arial" w:hAnsi="Arial" w:cs="Arial"/>
          <w:sz w:val="20"/>
          <w:szCs w:val="20"/>
        </w:rPr>
        <w:t>hr</w:t>
      </w:r>
      <w:proofErr w:type="spellEnd"/>
      <w:r>
        <w:rPr>
          <w:rFonts w:ascii="Arial" w:hAnsi="Arial" w:cs="Arial"/>
          <w:sz w:val="20"/>
          <w:szCs w:val="20"/>
        </w:rPr>
        <w:t xml:space="preserve"> was changed to a 9.8 EER rated unit.  In the size range greater </w:t>
      </w:r>
      <w:proofErr w:type="gramStart"/>
      <w:r>
        <w:rPr>
          <w:rFonts w:ascii="Arial" w:hAnsi="Arial" w:cs="Arial"/>
          <w:sz w:val="20"/>
          <w:szCs w:val="20"/>
        </w:rPr>
        <w:t xml:space="preserve">than 760 </w:t>
      </w:r>
      <w:proofErr w:type="spellStart"/>
      <w:r>
        <w:rPr>
          <w:rFonts w:ascii="Arial" w:hAnsi="Arial" w:cs="Arial"/>
          <w:sz w:val="20"/>
          <w:szCs w:val="20"/>
        </w:rPr>
        <w:t>kBTU</w:t>
      </w:r>
      <w:proofErr w:type="spellEnd"/>
      <w:r>
        <w:rPr>
          <w:rFonts w:ascii="Arial" w:hAnsi="Arial" w:cs="Arial"/>
          <w:sz w:val="20"/>
          <w:szCs w:val="20"/>
        </w:rPr>
        <w:t>/</w:t>
      </w:r>
      <w:proofErr w:type="spellStart"/>
      <w:r>
        <w:rPr>
          <w:rFonts w:ascii="Arial" w:hAnsi="Arial" w:cs="Arial"/>
          <w:sz w:val="20"/>
          <w:szCs w:val="20"/>
        </w:rPr>
        <w:t>hr</w:t>
      </w:r>
      <w:proofErr w:type="spellEnd"/>
      <w:r>
        <w:rPr>
          <w:rFonts w:ascii="Arial" w:hAnsi="Arial" w:cs="Arial"/>
          <w:sz w:val="20"/>
          <w:szCs w:val="20"/>
        </w:rPr>
        <w:t>,</w:t>
      </w:r>
      <w:proofErr w:type="gramEnd"/>
      <w:r>
        <w:rPr>
          <w:rFonts w:ascii="Arial" w:hAnsi="Arial" w:cs="Arial"/>
          <w:sz w:val="20"/>
          <w:szCs w:val="20"/>
        </w:rPr>
        <w:t xml:space="preserve"> the 9.7 and 10 EER units were changed to 9.5 and 9.7 EER, respectively.</w:t>
      </w:r>
    </w:p>
    <w:p w:rsidR="00CD67AF" w:rsidRDefault="00CD67AF" w:rsidP="00CD67AF">
      <w:pPr>
        <w:pStyle w:val="Heading3"/>
        <w:ind w:left="720"/>
      </w:pPr>
      <w:bookmarkStart w:id="16" w:name="_Toc308511028"/>
      <w:r>
        <w:t>Oldest building vintage HVAC system performance</w:t>
      </w:r>
      <w:bookmarkEnd w:id="16"/>
    </w:p>
    <w:p w:rsidR="00CD67AF" w:rsidRDefault="00CD67AF" w:rsidP="00CD67AF">
      <w:pPr>
        <w:ind w:left="720"/>
        <w:rPr>
          <w:rFonts w:ascii="Arial" w:hAnsi="Arial" w:cs="Arial"/>
          <w:sz w:val="20"/>
          <w:szCs w:val="20"/>
        </w:rPr>
      </w:pPr>
      <w:r>
        <w:rPr>
          <w:rFonts w:ascii="Arial" w:hAnsi="Arial" w:cs="Arial"/>
          <w:sz w:val="20"/>
          <w:szCs w:val="20"/>
        </w:rPr>
        <w:t>Analysis of CEUS data indicates that many older vintage building have updated HVAC systems and that these older buildings are not well represented by a constant volume HVAC system, as was assumed for the oldest vintage DEER prototypes.  Built-up HVAC system in the oldest vintage buildings are now modeled as a combination of constant volume and variable volume systems, represented by an variable air volume HVAC system with a high minimum flow rate (60% minimum flow).</w:t>
      </w:r>
    </w:p>
    <w:p w:rsidR="00CD67AF" w:rsidRDefault="00CD67AF" w:rsidP="00CD67AF">
      <w:pPr>
        <w:pStyle w:val="Heading3"/>
        <w:ind w:left="720"/>
      </w:pPr>
      <w:bookmarkStart w:id="17" w:name="Economizer"/>
      <w:bookmarkStart w:id="18" w:name="_Toc308511029"/>
      <w:bookmarkEnd w:id="17"/>
      <w:r>
        <w:t>Economizer set point</w:t>
      </w:r>
      <w:bookmarkEnd w:id="18"/>
    </w:p>
    <w:p w:rsidR="000311EE" w:rsidRDefault="00CD67AF" w:rsidP="000311EE">
      <w:pPr>
        <w:ind w:left="720"/>
        <w:rPr>
          <w:rFonts w:ascii="Arial" w:hAnsi="Arial" w:cs="Arial"/>
          <w:sz w:val="20"/>
          <w:szCs w:val="20"/>
        </w:rPr>
      </w:pPr>
      <w:r>
        <w:rPr>
          <w:rFonts w:ascii="Arial" w:hAnsi="Arial" w:cs="Arial"/>
          <w:sz w:val="20"/>
          <w:szCs w:val="20"/>
        </w:rPr>
        <w:t xml:space="preserve">The controls for the economizer have been changed in climate zones </w:t>
      </w:r>
      <w:r>
        <w:rPr>
          <w:sz w:val="20"/>
          <w:szCs w:val="20"/>
        </w:rPr>
        <w:t>CZ01</w:t>
      </w:r>
      <w:r>
        <w:rPr>
          <w:rFonts w:ascii="Arial" w:hAnsi="Arial" w:cs="Arial"/>
          <w:sz w:val="20"/>
          <w:szCs w:val="20"/>
        </w:rPr>
        <w:t xml:space="preserve">, CZ03 and </w:t>
      </w:r>
      <w:r>
        <w:rPr>
          <w:sz w:val="20"/>
          <w:szCs w:val="20"/>
        </w:rPr>
        <w:t>CZ05</w:t>
      </w:r>
      <w:r>
        <w:rPr>
          <w:rFonts w:ascii="Arial" w:hAnsi="Arial" w:cs="Arial"/>
          <w:sz w:val="20"/>
          <w:szCs w:val="20"/>
        </w:rPr>
        <w:t>.  In these climate zones, standard control settings allowed the economizer to be used during the peak cooling period, causing a large peak latent cooling load.  Though compliant with the Title-24 ACM specifications, it is unlikely that an economizer would be utilized in a way that increases the peak demand.  The economizer set point temperature, above which the outside air is forced to its minimum flow rate, was lowered to 70 °F from 75 °F in these climate zones.  This change results in more appropriate (i.e. smaller) design chiller size</w:t>
      </w:r>
      <w:r w:rsidR="00384A2B">
        <w:rPr>
          <w:rFonts w:ascii="Arial" w:hAnsi="Arial" w:cs="Arial"/>
          <w:sz w:val="20"/>
          <w:szCs w:val="20"/>
        </w:rPr>
        <w:t xml:space="preserve"> in these climate zones</w:t>
      </w:r>
      <w:r>
        <w:rPr>
          <w:rFonts w:ascii="Arial" w:hAnsi="Arial" w:cs="Arial"/>
          <w:sz w:val="20"/>
          <w:szCs w:val="20"/>
        </w:rPr>
        <w:t xml:space="preserve">, especially in the older vintage buildings. </w:t>
      </w:r>
    </w:p>
    <w:p w:rsidR="000311EE" w:rsidRDefault="000311EE" w:rsidP="000311EE">
      <w:pPr>
        <w:ind w:left="720"/>
        <w:rPr>
          <w:rStyle w:val="Heading3Char"/>
          <w:rFonts w:cs="Arial"/>
          <w:bCs/>
          <w:szCs w:val="26"/>
        </w:rPr>
      </w:pPr>
    </w:p>
    <w:p w:rsidR="004927F4" w:rsidRDefault="004927F4">
      <w:pPr>
        <w:ind w:left="720"/>
        <w:rPr>
          <w:rFonts w:ascii="Arial" w:hAnsi="Arial" w:cs="Arial"/>
          <w:color w:val="0000FF"/>
          <w:sz w:val="20"/>
          <w:szCs w:val="20"/>
        </w:rPr>
      </w:pPr>
      <w:bookmarkStart w:id="19" w:name="_Toc308511030"/>
      <w:r>
        <w:rPr>
          <w:rStyle w:val="Heading3Char"/>
          <w:rFonts w:cs="Arial"/>
          <w:bCs/>
          <w:szCs w:val="26"/>
        </w:rPr>
        <w:t>DOE2.2 bug fixes</w:t>
      </w:r>
      <w:bookmarkEnd w:id="19"/>
      <w:r>
        <w:rPr>
          <w:rFonts w:ascii="Arial" w:hAnsi="Arial" w:cs="Arial"/>
          <w:color w:val="0000FF"/>
          <w:sz w:val="20"/>
          <w:szCs w:val="20"/>
        </w:rPr>
        <w:t> </w:t>
      </w:r>
    </w:p>
    <w:p w:rsidR="004927F4" w:rsidRDefault="004927F4">
      <w:pPr>
        <w:ind w:left="720"/>
        <w:rPr>
          <w:rFonts w:ascii="Arial" w:hAnsi="Arial" w:cs="Arial"/>
          <w:sz w:val="20"/>
          <w:szCs w:val="20"/>
        </w:rPr>
      </w:pPr>
      <w:r>
        <w:rPr>
          <w:rFonts w:ascii="Arial" w:hAnsi="Arial" w:cs="Arial"/>
          <w:sz w:val="20"/>
          <w:szCs w:val="20"/>
        </w:rPr>
        <w:t>These changes to the measure analysis software tool were prompted by an update to the DOE2.2 simulation engine that is used in the DEER MAS tool.  The following fixes were identified as having some impact on the DEER measure results; there may be other bug fixes included in the update of the DOE2.2 simulation engine that do not affect the DEER results.</w:t>
      </w:r>
    </w:p>
    <w:p w:rsidR="004927F4" w:rsidRDefault="004927F4">
      <w:pPr>
        <w:ind w:left="720"/>
        <w:rPr>
          <w:rFonts w:ascii="Arial" w:hAnsi="Arial" w:cs="Arial"/>
          <w:sz w:val="20"/>
          <w:szCs w:val="20"/>
        </w:rPr>
      </w:pPr>
    </w:p>
    <w:p w:rsidR="004927F4" w:rsidRDefault="004927F4">
      <w:pPr>
        <w:numPr>
          <w:ilvl w:val="0"/>
          <w:numId w:val="5"/>
        </w:numPr>
        <w:tabs>
          <w:tab w:val="clear" w:pos="720"/>
          <w:tab w:val="num" w:pos="1440"/>
        </w:tabs>
        <w:ind w:left="1440"/>
      </w:pPr>
      <w:r>
        <w:rPr>
          <w:rFonts w:ascii="Arial" w:hAnsi="Arial" w:cs="Arial"/>
          <w:sz w:val="20"/>
          <w:szCs w:val="20"/>
        </w:rPr>
        <w:t xml:space="preserve">Fix that affects the outside air volume associated with duct leakage: this mainly impacts the mobile home duct measures but has a small effect on the single-family and multi-family prototypes as well.  DOE2.2 was previously over accounting for outside make-up air associated with duct losses to unconditioned spaces (in both base and measure cases).  Non-commercial buildings were not impacted by this fix.    </w:t>
      </w:r>
    </w:p>
    <w:p w:rsidR="004927F4" w:rsidRPr="000311EE" w:rsidRDefault="004927F4">
      <w:pPr>
        <w:numPr>
          <w:ilvl w:val="0"/>
          <w:numId w:val="5"/>
        </w:numPr>
        <w:tabs>
          <w:tab w:val="clear" w:pos="720"/>
          <w:tab w:val="num" w:pos="1440"/>
        </w:tabs>
        <w:ind w:left="1440"/>
      </w:pPr>
      <w:r>
        <w:rPr>
          <w:rFonts w:ascii="Arial" w:hAnsi="Arial" w:cs="Arial"/>
          <w:sz w:val="20"/>
          <w:szCs w:val="20"/>
        </w:rPr>
        <w:t>Fix regarding default minimum heating flow rates.  In some cases, the default zone minimum heating flow rate did not default to the system minimum heating flow rate as was intended.  The impact of this fix on the DEER results is minor.</w:t>
      </w:r>
    </w:p>
    <w:p w:rsidR="000311EE" w:rsidRPr="008677B0" w:rsidRDefault="000311EE">
      <w:pPr>
        <w:numPr>
          <w:ilvl w:val="0"/>
          <w:numId w:val="5"/>
        </w:numPr>
        <w:tabs>
          <w:tab w:val="clear" w:pos="720"/>
          <w:tab w:val="num" w:pos="1440"/>
        </w:tabs>
        <w:ind w:left="1440"/>
      </w:pPr>
      <w:r w:rsidRPr="008677B0">
        <w:rPr>
          <w:rFonts w:ascii="Arial" w:hAnsi="Arial" w:cs="Arial"/>
          <w:sz w:val="20"/>
          <w:szCs w:val="20"/>
        </w:rPr>
        <w:t xml:space="preserve">Fix that corrects an error with the calculation of the heat load due to lighting fixtures under specific circumstances of zoning and lighting system configuration.  All of the results in the “Lighting Workbook” are based on simulations that include this DOE2.2 source code </w:t>
      </w:r>
      <w:r w:rsidR="006455B6" w:rsidRPr="008677B0">
        <w:rPr>
          <w:rFonts w:ascii="Arial" w:hAnsi="Arial" w:cs="Arial"/>
          <w:sz w:val="20"/>
          <w:szCs w:val="20"/>
        </w:rPr>
        <w:t>correction</w:t>
      </w:r>
      <w:r w:rsidRPr="008677B0">
        <w:rPr>
          <w:rFonts w:ascii="Arial" w:hAnsi="Arial" w:cs="Arial"/>
          <w:sz w:val="20"/>
          <w:szCs w:val="20"/>
        </w:rPr>
        <w:t>.</w:t>
      </w:r>
    </w:p>
    <w:p w:rsidR="004927F4" w:rsidRDefault="004927F4">
      <w:pPr>
        <w:ind w:left="1080"/>
        <w:rPr>
          <w:rFonts w:ascii="Arial" w:hAnsi="Arial" w:cs="Arial"/>
          <w:color w:val="0000FF"/>
          <w:sz w:val="20"/>
          <w:szCs w:val="20"/>
        </w:rPr>
      </w:pPr>
    </w:p>
    <w:p w:rsidR="008677B0" w:rsidRDefault="008677B0" w:rsidP="003B6E45">
      <w:pPr>
        <w:spacing w:before="100" w:beforeAutospacing="1" w:after="100" w:afterAutospacing="1"/>
        <w:ind w:left="720"/>
        <w:rPr>
          <w:rFonts w:ascii="Arial" w:hAnsi="Arial" w:cs="Arial"/>
          <w:sz w:val="20"/>
          <w:szCs w:val="20"/>
        </w:rPr>
      </w:pPr>
      <w:bookmarkStart w:id="20" w:name="T12"/>
      <w:bookmarkStart w:id="21" w:name="_Toc308511031"/>
      <w:bookmarkEnd w:id="20"/>
      <w:r>
        <w:rPr>
          <w:rStyle w:val="Heading3Char"/>
          <w:rFonts w:cs="Arial"/>
          <w:bCs/>
          <w:szCs w:val="26"/>
        </w:rPr>
        <w:t>T12 linear fluorescent baseline fixtures</w:t>
      </w:r>
      <w:bookmarkEnd w:id="21"/>
      <w:r>
        <w:rPr>
          <w:rStyle w:val="Heading3Char"/>
          <w:rFonts w:cs="Arial"/>
          <w:bCs/>
          <w:szCs w:val="26"/>
        </w:rPr>
        <w:t xml:space="preserve"> </w:t>
      </w:r>
      <w:r>
        <w:rPr>
          <w:rStyle w:val="Heading3Char"/>
          <w:rFonts w:cs="Arial"/>
          <w:bCs/>
          <w:szCs w:val="26"/>
        </w:rPr>
        <w:br/>
      </w:r>
      <w:r w:rsidR="003B6E45" w:rsidRPr="008677B0">
        <w:rPr>
          <w:rFonts w:ascii="Arial" w:hAnsi="Arial" w:cs="Arial"/>
          <w:sz w:val="20"/>
          <w:szCs w:val="20"/>
        </w:rPr>
        <w:t xml:space="preserve">Input power for T12 linear fluorescent baseline fixtures were updated to reflect USDOE ballast efficacy requirements enacted in 1990. </w:t>
      </w:r>
    </w:p>
    <w:p w:rsidR="008677B0" w:rsidRDefault="00491855" w:rsidP="003B6E45">
      <w:pPr>
        <w:spacing w:before="100" w:beforeAutospacing="1" w:after="100" w:afterAutospacing="1"/>
        <w:ind w:left="720"/>
        <w:rPr>
          <w:rFonts w:ascii="Arial" w:hAnsi="Arial" w:cs="Arial"/>
          <w:sz w:val="20"/>
          <w:szCs w:val="20"/>
        </w:rPr>
      </w:pPr>
      <w:r w:rsidRPr="008677B0">
        <w:rPr>
          <w:rFonts w:ascii="Arial" w:hAnsi="Arial" w:cs="Arial"/>
          <w:sz w:val="20"/>
          <w:szCs w:val="20"/>
        </w:rPr>
        <w:lastRenderedPageBreak/>
        <w:t xml:space="preserve">Minimum efficiency requirements for magnetic ballasts were adopted as part of EPACT in 1990. Ballasts covered by these standards are often called “Energy Efficient” or “ES” magnetic ballasts. These minimum efficiency requirements were updated again in 2005. The new requirements essentially prohibited the inclusion of ES magnetic ballasts in any new fixtures. However, the standard did allow the shipment of ES magnetic ballasts for repair or replacement purposes. </w:t>
      </w:r>
    </w:p>
    <w:p w:rsidR="00E72DEF" w:rsidRDefault="008677B0" w:rsidP="003B6E45">
      <w:pPr>
        <w:spacing w:before="100" w:beforeAutospacing="1" w:after="100" w:afterAutospacing="1"/>
        <w:ind w:left="720"/>
        <w:rPr>
          <w:rFonts w:ascii="Arial" w:hAnsi="Arial" w:cs="Arial"/>
          <w:sz w:val="20"/>
          <w:szCs w:val="20"/>
        </w:rPr>
      </w:pPr>
      <w:r>
        <w:rPr>
          <w:rFonts w:ascii="Arial" w:hAnsi="Arial" w:cs="Arial"/>
          <w:sz w:val="20"/>
          <w:szCs w:val="20"/>
        </w:rPr>
        <w:t>I</w:t>
      </w:r>
      <w:r w:rsidR="00491855" w:rsidRPr="008677B0">
        <w:rPr>
          <w:rFonts w:ascii="Arial" w:hAnsi="Arial" w:cs="Arial"/>
          <w:sz w:val="20"/>
          <w:szCs w:val="20"/>
        </w:rPr>
        <w:t xml:space="preserve">n 2010 EPACT prohibited the manufacture or import for sale </w:t>
      </w:r>
      <w:r>
        <w:rPr>
          <w:rFonts w:ascii="Arial" w:hAnsi="Arial" w:cs="Arial"/>
          <w:sz w:val="20"/>
          <w:szCs w:val="20"/>
        </w:rPr>
        <w:t xml:space="preserve">of </w:t>
      </w:r>
      <w:r w:rsidR="00491855" w:rsidRPr="008677B0">
        <w:rPr>
          <w:rFonts w:ascii="Arial" w:hAnsi="Arial" w:cs="Arial"/>
          <w:sz w:val="20"/>
          <w:szCs w:val="20"/>
        </w:rPr>
        <w:t xml:space="preserve">any T12 magnetic ballasts. Most importantly, EPACT 1990 required ES magnetic ballasts for all nonresidential applications. Pre-EPACT (pre-1990) fixtures that were installed with standard magnetic ballasts would need to have survived without any ballast replacements for twenty three years by 2013. Ballast replacements would have utilized either an ES ballast in the 1990’s or a hybrid or electronic ballast in the 2000-2010 period and since 2010 an electronic ballast. </w:t>
      </w:r>
    </w:p>
    <w:p w:rsidR="003B6E45" w:rsidRPr="008677B0" w:rsidRDefault="00491855" w:rsidP="003B6E45">
      <w:pPr>
        <w:spacing w:before="100" w:beforeAutospacing="1" w:after="100" w:afterAutospacing="1"/>
        <w:ind w:left="720"/>
      </w:pPr>
      <w:r w:rsidRPr="008677B0">
        <w:rPr>
          <w:rFonts w:ascii="Arial" w:hAnsi="Arial" w:cs="Arial"/>
          <w:sz w:val="20"/>
          <w:szCs w:val="20"/>
        </w:rPr>
        <w:t xml:space="preserve">During this same time period (especially post 1990’s) the standard lamp/ballast and fixture retrofits have become T8 lamps with electronic ballasts and the prices and availability of electronic ballasts compatible with the T12 lamps has allowed them to become the normal repair choice. For these reasons, baseline wattages of fixtures in the </w:t>
      </w:r>
      <w:r w:rsidR="00E72DEF">
        <w:rPr>
          <w:rFonts w:ascii="Arial" w:hAnsi="Arial" w:cs="Arial"/>
          <w:sz w:val="20"/>
          <w:szCs w:val="20"/>
        </w:rPr>
        <w:t>DEER</w:t>
      </w:r>
      <w:r w:rsidRPr="008677B0">
        <w:rPr>
          <w:rFonts w:ascii="Arial" w:hAnsi="Arial" w:cs="Arial"/>
          <w:sz w:val="20"/>
          <w:szCs w:val="20"/>
        </w:rPr>
        <w:t xml:space="preserve"> lighting fixture table that include pre-EPACT magnetic ballasts have been revised to assume ES magnetic ballasts. The table provides a sample of these fixture power revisions for 4 and 8 foot 2-lamp fixtures.</w:t>
      </w:r>
    </w:p>
    <w:p w:rsidR="00491855" w:rsidRDefault="00491855" w:rsidP="00491855">
      <w:pPr>
        <w:pStyle w:val="Caption"/>
        <w:keepNext/>
        <w:ind w:left="720"/>
      </w:pPr>
      <w:r w:rsidRPr="00E1567A">
        <w:t>Changes to DEER T12 Linear Fluorescent Fixture Watts for STD to ES Magnetic Ballasts</w:t>
      </w:r>
    </w:p>
    <w:p w:rsidR="00491855" w:rsidRDefault="00917155" w:rsidP="003B6E45">
      <w:pPr>
        <w:spacing w:before="100" w:beforeAutospacing="1" w:after="100" w:afterAutospacing="1"/>
        <w:ind w:left="720"/>
        <w:rPr>
          <w:szCs w:val="20"/>
        </w:rPr>
      </w:pPr>
      <w:r>
        <w:rPr>
          <w:noProof/>
          <w:szCs w:val="20"/>
        </w:rPr>
        <w:drawing>
          <wp:inline distT="0" distB="0" distL="0" distR="0">
            <wp:extent cx="5120640" cy="3187065"/>
            <wp:effectExtent l="1905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120640" cy="3187065"/>
                    </a:xfrm>
                    <a:prstGeom prst="rect">
                      <a:avLst/>
                    </a:prstGeom>
                    <a:noFill/>
                    <a:ln w="9525">
                      <a:noFill/>
                      <a:miter lim="800000"/>
                      <a:headEnd/>
                      <a:tailEnd/>
                    </a:ln>
                  </pic:spPr>
                </pic:pic>
              </a:graphicData>
            </a:graphic>
          </wp:inline>
        </w:drawing>
      </w:r>
    </w:p>
    <w:p w:rsidR="00491855" w:rsidRDefault="00491855" w:rsidP="003B6E45">
      <w:pPr>
        <w:spacing w:before="100" w:beforeAutospacing="1" w:after="100" w:afterAutospacing="1"/>
        <w:ind w:left="720"/>
        <w:rPr>
          <w:rFonts w:ascii="Arial" w:hAnsi="Arial" w:cs="Arial"/>
          <w:sz w:val="20"/>
          <w:szCs w:val="20"/>
        </w:rPr>
      </w:pPr>
      <w:r w:rsidRPr="00491855">
        <w:rPr>
          <w:rFonts w:ascii="Arial" w:hAnsi="Arial" w:cs="Arial"/>
          <w:sz w:val="20"/>
          <w:szCs w:val="20"/>
        </w:rPr>
        <w:t>The table below provides show how the above described changes to the baseline fixture wattages for typical early retirement retrofit measures will reduce the per fixture wattage change pre-retrofit versus post-retrofit. This value can be similar to the reduction in measure savings from this baseline change.</w:t>
      </w:r>
    </w:p>
    <w:p w:rsidR="00491855" w:rsidRDefault="00491855" w:rsidP="00491855">
      <w:pPr>
        <w:pStyle w:val="Caption"/>
        <w:keepNext/>
        <w:ind w:left="720"/>
      </w:pPr>
      <w:r w:rsidRPr="00983F70">
        <w:lastRenderedPageBreak/>
        <w:t>Reduction in DEER 2008 Measure Wattage Change Due to ES-Magnetic Ballast Baseline</w:t>
      </w:r>
    </w:p>
    <w:p w:rsidR="00491855" w:rsidRPr="00491855" w:rsidRDefault="00917155" w:rsidP="003B6E45">
      <w:pPr>
        <w:spacing w:before="100" w:beforeAutospacing="1" w:after="100" w:afterAutospacing="1"/>
        <w:ind w:left="720"/>
        <w:rPr>
          <w:rFonts w:ascii="Arial" w:hAnsi="Arial" w:cs="Arial"/>
          <w:sz w:val="20"/>
          <w:szCs w:val="20"/>
        </w:rPr>
      </w:pPr>
      <w:r>
        <w:rPr>
          <w:noProof/>
          <w:szCs w:val="20"/>
        </w:rPr>
        <w:drawing>
          <wp:inline distT="0" distB="0" distL="0" distR="0">
            <wp:extent cx="5094605" cy="393827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094605" cy="3938270"/>
                    </a:xfrm>
                    <a:prstGeom prst="rect">
                      <a:avLst/>
                    </a:prstGeom>
                    <a:noFill/>
                    <a:ln w="9525">
                      <a:noFill/>
                      <a:miter lim="800000"/>
                      <a:headEnd/>
                      <a:tailEnd/>
                    </a:ln>
                  </pic:spPr>
                </pic:pic>
              </a:graphicData>
            </a:graphic>
          </wp:inline>
        </w:drawing>
      </w:r>
    </w:p>
    <w:p w:rsidR="004927F4" w:rsidRDefault="004927F4">
      <w:pPr>
        <w:pStyle w:val="Heading3"/>
        <w:ind w:left="720"/>
      </w:pPr>
      <w:bookmarkStart w:id="22" w:name="ResLights"/>
      <w:bookmarkStart w:id="23" w:name="_Toc308511032"/>
      <w:bookmarkEnd w:id="22"/>
      <w:r>
        <w:t xml:space="preserve">Residential </w:t>
      </w:r>
      <w:r w:rsidR="0013314F">
        <w:t>Interio</w:t>
      </w:r>
      <w:r w:rsidR="00E72DEF">
        <w:t>r</w:t>
      </w:r>
      <w:r w:rsidR="0013314F">
        <w:t xml:space="preserve"> </w:t>
      </w:r>
      <w:r>
        <w:t xml:space="preserve">Lighting </w:t>
      </w:r>
      <w:r w:rsidR="0013314F">
        <w:t>P</w:t>
      </w:r>
      <w:r>
        <w:t>rofile for CFLs</w:t>
      </w:r>
      <w:bookmarkEnd w:id="23"/>
    </w:p>
    <w:p w:rsidR="0013314F" w:rsidRDefault="004927F4">
      <w:pPr>
        <w:ind w:left="720"/>
        <w:rPr>
          <w:rFonts w:ascii="Arial" w:hAnsi="Arial" w:cs="Arial"/>
          <w:sz w:val="20"/>
          <w:szCs w:val="20"/>
        </w:rPr>
      </w:pPr>
      <w:r>
        <w:rPr>
          <w:rFonts w:ascii="Arial" w:hAnsi="Arial" w:cs="Arial"/>
          <w:sz w:val="20"/>
          <w:szCs w:val="20"/>
        </w:rPr>
        <w:t xml:space="preserve">The residential lighting profile used for indoor lighting in general, and for the CFL lamp replacement measure specifically, was reformulated </w:t>
      </w:r>
      <w:r w:rsidR="00772FB9">
        <w:rPr>
          <w:rFonts w:ascii="Arial" w:hAnsi="Arial" w:cs="Arial"/>
          <w:sz w:val="20"/>
          <w:szCs w:val="20"/>
        </w:rPr>
        <w:t>based on the lighting logger study perfo</w:t>
      </w:r>
      <w:r w:rsidR="00F9205F">
        <w:rPr>
          <w:rFonts w:ascii="Arial" w:hAnsi="Arial" w:cs="Arial"/>
          <w:sz w:val="20"/>
          <w:szCs w:val="20"/>
        </w:rPr>
        <w:t>r</w:t>
      </w:r>
      <w:r w:rsidR="00772FB9">
        <w:rPr>
          <w:rFonts w:ascii="Arial" w:hAnsi="Arial" w:cs="Arial"/>
          <w:sz w:val="20"/>
          <w:szCs w:val="20"/>
        </w:rPr>
        <w:t>med by KEMA as part of the evaluation of the 2006-2006 upstream lighting program. The</w:t>
      </w:r>
      <w:r w:rsidR="0013314F">
        <w:rPr>
          <w:rFonts w:ascii="Arial" w:hAnsi="Arial" w:cs="Arial"/>
          <w:sz w:val="20"/>
          <w:szCs w:val="20"/>
        </w:rPr>
        <w:t xml:space="preserve"> profiles were updated based on a model that projects saturation of CFLs in the year 2013 and are intended to represent the typical hours of use of CFLs in that program year. The figure below compares the average annual CFL usage profiles for DEER v4.00</w:t>
      </w:r>
      <w:r w:rsidR="00F9205F">
        <w:rPr>
          <w:rFonts w:ascii="Arial" w:hAnsi="Arial" w:cs="Arial"/>
          <w:sz w:val="20"/>
          <w:szCs w:val="20"/>
        </w:rPr>
        <w:t xml:space="preserve"> (2011)</w:t>
      </w:r>
      <w:r w:rsidR="0013314F">
        <w:rPr>
          <w:rFonts w:ascii="Arial" w:hAnsi="Arial" w:cs="Arial"/>
          <w:sz w:val="20"/>
          <w:szCs w:val="20"/>
        </w:rPr>
        <w:t xml:space="preserve"> and v2.05</w:t>
      </w:r>
      <w:r w:rsidR="00F9205F">
        <w:rPr>
          <w:rFonts w:ascii="Arial" w:hAnsi="Arial" w:cs="Arial"/>
          <w:sz w:val="20"/>
          <w:szCs w:val="20"/>
        </w:rPr>
        <w:t xml:space="preserve"> (2008)</w:t>
      </w:r>
      <w:r w:rsidR="0013314F">
        <w:rPr>
          <w:rFonts w:ascii="Arial" w:hAnsi="Arial" w:cs="Arial"/>
          <w:sz w:val="20"/>
          <w:szCs w:val="20"/>
        </w:rPr>
        <w:t>.</w:t>
      </w:r>
    </w:p>
    <w:p w:rsidR="0013314F" w:rsidRDefault="0013314F">
      <w:pPr>
        <w:ind w:left="720"/>
        <w:rPr>
          <w:rFonts w:ascii="Arial" w:hAnsi="Arial" w:cs="Arial"/>
          <w:sz w:val="20"/>
          <w:szCs w:val="20"/>
        </w:rPr>
      </w:pPr>
    </w:p>
    <w:p w:rsidR="0013314F" w:rsidRDefault="00FE092A" w:rsidP="0013314F">
      <w:pPr>
        <w:pStyle w:val="Caption"/>
        <w:keepNext/>
      </w:pPr>
      <w:r>
        <w:lastRenderedPageBreak/>
        <w:tab/>
      </w:r>
      <w:r w:rsidR="0013314F">
        <w:t>Residential Interior CFL Usage Profile</w:t>
      </w:r>
    </w:p>
    <w:p w:rsidR="004927F4" w:rsidRDefault="00917155">
      <w:pPr>
        <w:ind w:left="720"/>
        <w:rPr>
          <w:rFonts w:ascii="Arial" w:hAnsi="Arial" w:cs="Arial"/>
          <w:sz w:val="20"/>
          <w:szCs w:val="20"/>
        </w:rPr>
      </w:pPr>
      <w:r>
        <w:rPr>
          <w:noProof/>
          <w:szCs w:val="20"/>
        </w:rPr>
        <w:drawing>
          <wp:inline distT="0" distB="0" distL="0" distR="0">
            <wp:extent cx="4931410" cy="3141345"/>
            <wp:effectExtent l="1905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4931410" cy="3141345"/>
                    </a:xfrm>
                    <a:prstGeom prst="rect">
                      <a:avLst/>
                    </a:prstGeom>
                    <a:noFill/>
                    <a:ln w="9525">
                      <a:noFill/>
                      <a:miter lim="800000"/>
                      <a:headEnd/>
                      <a:tailEnd/>
                    </a:ln>
                  </pic:spPr>
                </pic:pic>
              </a:graphicData>
            </a:graphic>
          </wp:inline>
        </w:drawing>
      </w:r>
    </w:p>
    <w:p w:rsidR="00C23C3B" w:rsidRDefault="00C23C3B" w:rsidP="00C23C3B">
      <w:pPr>
        <w:pStyle w:val="Heading3"/>
        <w:ind w:left="720"/>
      </w:pPr>
      <w:bookmarkStart w:id="24" w:name="_Toc308511033"/>
      <w:r>
        <w:t>Residential Interior CFL Operating Hours</w:t>
      </w:r>
      <w:r w:rsidR="0013314F">
        <w:t xml:space="preserve"> and Co</w:t>
      </w:r>
      <w:r w:rsidR="00F9205F">
        <w:t>i</w:t>
      </w:r>
      <w:r w:rsidR="0013314F">
        <w:t>ncident Demand Factors</w:t>
      </w:r>
      <w:bookmarkEnd w:id="24"/>
    </w:p>
    <w:p w:rsidR="00C23C3B" w:rsidRDefault="0013314F" w:rsidP="00C23C3B">
      <w:pPr>
        <w:ind w:left="720"/>
        <w:rPr>
          <w:rFonts w:ascii="Arial" w:hAnsi="Arial" w:cs="Arial"/>
          <w:sz w:val="20"/>
          <w:szCs w:val="20"/>
        </w:rPr>
      </w:pPr>
      <w:r>
        <w:rPr>
          <w:rFonts w:ascii="Arial" w:hAnsi="Arial" w:cs="Arial"/>
          <w:sz w:val="20"/>
          <w:szCs w:val="20"/>
        </w:rPr>
        <w:t xml:space="preserve">The revised interior lighting profiles also result in revised annual operating hours as well as coincident demand factors. </w:t>
      </w:r>
      <w:r w:rsidR="00FE092A">
        <w:rPr>
          <w:rFonts w:ascii="Arial" w:hAnsi="Arial" w:cs="Arial"/>
          <w:sz w:val="20"/>
          <w:szCs w:val="20"/>
        </w:rPr>
        <w:t>The table below compares the 2008 and 2011 values.</w:t>
      </w:r>
      <w:r w:rsidR="00EA003E">
        <w:rPr>
          <w:rFonts w:ascii="Arial" w:hAnsi="Arial" w:cs="Arial"/>
          <w:sz w:val="20"/>
          <w:szCs w:val="20"/>
        </w:rPr>
        <w:t xml:space="preserve"> </w:t>
      </w:r>
      <w:proofErr w:type="gramStart"/>
      <w:r w:rsidR="00EA003E">
        <w:rPr>
          <w:rFonts w:ascii="Arial" w:hAnsi="Arial" w:cs="Arial"/>
          <w:sz w:val="20"/>
          <w:szCs w:val="20"/>
        </w:rPr>
        <w:t xml:space="preserve">The table below compares </w:t>
      </w:r>
      <w:r w:rsidR="00F9205F">
        <w:rPr>
          <w:rFonts w:ascii="Arial" w:hAnsi="Arial" w:cs="Arial"/>
          <w:sz w:val="20"/>
          <w:szCs w:val="20"/>
        </w:rPr>
        <w:t>DEER v4.00 (2011) and v2.05 (2008)</w:t>
      </w:r>
      <w:r w:rsidR="00EA003E">
        <w:rPr>
          <w:rFonts w:ascii="Arial" w:hAnsi="Arial" w:cs="Arial"/>
          <w:sz w:val="20"/>
          <w:szCs w:val="20"/>
        </w:rPr>
        <w:t xml:space="preserve"> interior CFL operating hours and CDFs.</w:t>
      </w:r>
      <w:proofErr w:type="gramEnd"/>
    </w:p>
    <w:p w:rsidR="00FE092A" w:rsidRDefault="00FE092A" w:rsidP="00C23C3B">
      <w:pPr>
        <w:ind w:left="720"/>
        <w:rPr>
          <w:rFonts w:ascii="Arial" w:hAnsi="Arial" w:cs="Arial"/>
          <w:sz w:val="20"/>
          <w:szCs w:val="20"/>
        </w:rPr>
      </w:pPr>
    </w:p>
    <w:p w:rsidR="00FE092A" w:rsidRDefault="00FE092A" w:rsidP="00FE092A">
      <w:pPr>
        <w:pStyle w:val="Caption"/>
        <w:keepNext/>
      </w:pPr>
      <w:r>
        <w:lastRenderedPageBreak/>
        <w:tab/>
        <w:t>Residential Interior CFL Operating Hours and Coincident Demand</w:t>
      </w:r>
    </w:p>
    <w:p w:rsidR="00FE092A" w:rsidRDefault="00917155" w:rsidP="00C23C3B">
      <w:pPr>
        <w:ind w:left="720"/>
        <w:rPr>
          <w:rFonts w:ascii="Arial" w:hAnsi="Arial" w:cs="Arial"/>
          <w:sz w:val="20"/>
          <w:szCs w:val="20"/>
        </w:rPr>
      </w:pPr>
      <w:r>
        <w:rPr>
          <w:noProof/>
          <w:szCs w:val="20"/>
        </w:rPr>
        <w:drawing>
          <wp:inline distT="0" distB="0" distL="0" distR="0">
            <wp:extent cx="3663950" cy="363156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3663950" cy="3631565"/>
                    </a:xfrm>
                    <a:prstGeom prst="rect">
                      <a:avLst/>
                    </a:prstGeom>
                    <a:noFill/>
                    <a:ln w="9525">
                      <a:noFill/>
                      <a:miter lim="800000"/>
                      <a:headEnd/>
                      <a:tailEnd/>
                    </a:ln>
                  </pic:spPr>
                </pic:pic>
              </a:graphicData>
            </a:graphic>
          </wp:inline>
        </w:drawing>
      </w:r>
    </w:p>
    <w:p w:rsidR="00C23C3B" w:rsidRDefault="00C23C3B" w:rsidP="00C23C3B">
      <w:pPr>
        <w:pStyle w:val="Heading3"/>
        <w:ind w:left="720"/>
      </w:pPr>
      <w:bookmarkStart w:id="25" w:name="_Toc308511034"/>
      <w:r>
        <w:t>Residential Exterior CFL Lighting Operating Hours</w:t>
      </w:r>
      <w:bookmarkEnd w:id="25"/>
    </w:p>
    <w:p w:rsidR="00C23C3B" w:rsidRDefault="00FE092A" w:rsidP="00C23C3B">
      <w:pPr>
        <w:ind w:left="720"/>
        <w:rPr>
          <w:rFonts w:ascii="Arial" w:hAnsi="Arial" w:cs="Arial"/>
          <w:sz w:val="20"/>
          <w:szCs w:val="20"/>
        </w:rPr>
      </w:pPr>
      <w:r>
        <w:rPr>
          <w:rFonts w:ascii="Arial" w:hAnsi="Arial" w:cs="Arial"/>
          <w:sz w:val="20"/>
          <w:szCs w:val="20"/>
        </w:rPr>
        <w:t>Residential exterior CFL lighting operating hours have been revised</w:t>
      </w:r>
      <w:r w:rsidRPr="00FE092A">
        <w:rPr>
          <w:rFonts w:ascii="Arial" w:hAnsi="Arial" w:cs="Arial"/>
          <w:sz w:val="20"/>
          <w:szCs w:val="20"/>
        </w:rPr>
        <w:t xml:space="preserve"> </w:t>
      </w:r>
      <w:r>
        <w:rPr>
          <w:rFonts w:ascii="Arial" w:hAnsi="Arial" w:cs="Arial"/>
          <w:sz w:val="20"/>
          <w:szCs w:val="20"/>
        </w:rPr>
        <w:t>based on the lighting logger study perfo</w:t>
      </w:r>
      <w:r w:rsidR="00F9205F">
        <w:rPr>
          <w:rFonts w:ascii="Arial" w:hAnsi="Arial" w:cs="Arial"/>
          <w:sz w:val="20"/>
          <w:szCs w:val="20"/>
        </w:rPr>
        <w:t>r</w:t>
      </w:r>
      <w:r>
        <w:rPr>
          <w:rFonts w:ascii="Arial" w:hAnsi="Arial" w:cs="Arial"/>
          <w:sz w:val="20"/>
          <w:szCs w:val="20"/>
        </w:rPr>
        <w:t xml:space="preserve">med by KEMA as part of the evaluation of the 2006-2006 upstream lighting program. The </w:t>
      </w:r>
      <w:r w:rsidR="00F37D87">
        <w:rPr>
          <w:rFonts w:ascii="Arial" w:hAnsi="Arial" w:cs="Arial"/>
          <w:sz w:val="20"/>
          <w:szCs w:val="20"/>
        </w:rPr>
        <w:t>operating hours</w:t>
      </w:r>
      <w:r>
        <w:rPr>
          <w:rFonts w:ascii="Arial" w:hAnsi="Arial" w:cs="Arial"/>
          <w:sz w:val="20"/>
          <w:szCs w:val="20"/>
        </w:rPr>
        <w:t xml:space="preserve"> were updated based on a model that projects saturation of CFLs in the year 2013 and are intended to represent the typical hours of use of incandescent lamps that are most likely to be replaced by CFLs in that program year. Coincident demand factors for exterior lighting remain unchanged at zero.</w:t>
      </w:r>
      <w:r w:rsidR="00EA003E">
        <w:rPr>
          <w:rFonts w:ascii="Arial" w:hAnsi="Arial" w:cs="Arial"/>
          <w:sz w:val="20"/>
          <w:szCs w:val="20"/>
        </w:rPr>
        <w:t xml:space="preserve"> </w:t>
      </w:r>
      <w:proofErr w:type="gramStart"/>
      <w:r w:rsidR="00EA003E">
        <w:rPr>
          <w:rFonts w:ascii="Arial" w:hAnsi="Arial" w:cs="Arial"/>
          <w:sz w:val="20"/>
          <w:szCs w:val="20"/>
        </w:rPr>
        <w:t xml:space="preserve">The table below compares </w:t>
      </w:r>
      <w:r w:rsidR="00F9205F">
        <w:rPr>
          <w:rFonts w:ascii="Arial" w:hAnsi="Arial" w:cs="Arial"/>
          <w:sz w:val="20"/>
          <w:szCs w:val="20"/>
        </w:rPr>
        <w:t>DEER v4.00 (2011) and v2.05 (2008)</w:t>
      </w:r>
      <w:r w:rsidR="00EA003E">
        <w:rPr>
          <w:rFonts w:ascii="Arial" w:hAnsi="Arial" w:cs="Arial"/>
          <w:sz w:val="20"/>
          <w:szCs w:val="20"/>
        </w:rPr>
        <w:t xml:space="preserve"> exterior hours of use.</w:t>
      </w:r>
      <w:proofErr w:type="gramEnd"/>
    </w:p>
    <w:p w:rsidR="00FE092A" w:rsidRDefault="00FE092A" w:rsidP="00C23C3B">
      <w:pPr>
        <w:ind w:left="720"/>
        <w:rPr>
          <w:rFonts w:ascii="Arial" w:hAnsi="Arial" w:cs="Arial"/>
          <w:sz w:val="20"/>
          <w:szCs w:val="20"/>
        </w:rPr>
      </w:pPr>
    </w:p>
    <w:p w:rsidR="00FE092A" w:rsidRDefault="00FE092A" w:rsidP="00FE092A">
      <w:pPr>
        <w:pStyle w:val="Caption"/>
        <w:keepNext/>
      </w:pPr>
      <w:r>
        <w:tab/>
      </w:r>
      <w:r w:rsidRPr="00E825CE">
        <w:t xml:space="preserve">Residential </w:t>
      </w:r>
      <w:r>
        <w:t>Exterior</w:t>
      </w:r>
      <w:r w:rsidRPr="00E825CE">
        <w:t xml:space="preserve"> CFL Operating Hours and Coincident Demand</w:t>
      </w:r>
    </w:p>
    <w:p w:rsidR="00FE092A" w:rsidRDefault="00917155" w:rsidP="00C23C3B">
      <w:pPr>
        <w:ind w:left="720"/>
        <w:rPr>
          <w:rFonts w:ascii="Arial" w:hAnsi="Arial" w:cs="Arial"/>
          <w:sz w:val="20"/>
          <w:szCs w:val="20"/>
        </w:rPr>
      </w:pPr>
      <w:r>
        <w:rPr>
          <w:noProof/>
          <w:szCs w:val="20"/>
        </w:rPr>
        <w:drawing>
          <wp:inline distT="0" distB="0" distL="0" distR="0">
            <wp:extent cx="3663950" cy="5810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3663950" cy="581025"/>
                    </a:xfrm>
                    <a:prstGeom prst="rect">
                      <a:avLst/>
                    </a:prstGeom>
                    <a:noFill/>
                    <a:ln w="9525">
                      <a:noFill/>
                      <a:miter lim="800000"/>
                      <a:headEnd/>
                      <a:tailEnd/>
                    </a:ln>
                  </pic:spPr>
                </pic:pic>
              </a:graphicData>
            </a:graphic>
          </wp:inline>
        </w:drawing>
      </w:r>
    </w:p>
    <w:p w:rsidR="00C23C3B" w:rsidRDefault="00C23C3B" w:rsidP="00C23C3B">
      <w:pPr>
        <w:pStyle w:val="Heading3"/>
        <w:ind w:left="720"/>
      </w:pPr>
      <w:bookmarkStart w:id="26" w:name="CFLRed"/>
      <w:bookmarkStart w:id="27" w:name="_Toc308511035"/>
      <w:bookmarkEnd w:id="26"/>
      <w:r>
        <w:t>Residential CFL Lighting Wattage Reduction</w:t>
      </w:r>
      <w:bookmarkEnd w:id="27"/>
    </w:p>
    <w:p w:rsidR="00C23C3B" w:rsidRDefault="00F37D87" w:rsidP="00C23C3B">
      <w:pPr>
        <w:ind w:left="720"/>
        <w:rPr>
          <w:rFonts w:ascii="Arial" w:hAnsi="Arial" w:cs="Arial"/>
          <w:sz w:val="20"/>
          <w:szCs w:val="20"/>
        </w:rPr>
      </w:pPr>
      <w:r>
        <w:rPr>
          <w:rFonts w:ascii="Arial" w:hAnsi="Arial" w:cs="Arial"/>
          <w:sz w:val="20"/>
          <w:szCs w:val="20"/>
        </w:rPr>
        <w:t>Residential interior and exterior CFL overall wattage reduction ratios have been revised</w:t>
      </w:r>
      <w:r w:rsidRPr="00FE092A">
        <w:rPr>
          <w:rFonts w:ascii="Arial" w:hAnsi="Arial" w:cs="Arial"/>
          <w:sz w:val="20"/>
          <w:szCs w:val="20"/>
        </w:rPr>
        <w:t xml:space="preserve"> </w:t>
      </w:r>
      <w:r>
        <w:rPr>
          <w:rFonts w:ascii="Arial" w:hAnsi="Arial" w:cs="Arial"/>
          <w:sz w:val="20"/>
          <w:szCs w:val="20"/>
        </w:rPr>
        <w:t>based on the lighting logger study perfo</w:t>
      </w:r>
      <w:r w:rsidR="00F9205F">
        <w:rPr>
          <w:rFonts w:ascii="Arial" w:hAnsi="Arial" w:cs="Arial"/>
          <w:sz w:val="20"/>
          <w:szCs w:val="20"/>
        </w:rPr>
        <w:t>r</w:t>
      </w:r>
      <w:r>
        <w:rPr>
          <w:rFonts w:ascii="Arial" w:hAnsi="Arial" w:cs="Arial"/>
          <w:sz w:val="20"/>
          <w:szCs w:val="20"/>
        </w:rPr>
        <w:t xml:space="preserve">med by KEMA as part of the evaluation of the 2006-2006 upstream lighting </w:t>
      </w:r>
      <w:proofErr w:type="gramStart"/>
      <w:r>
        <w:rPr>
          <w:rFonts w:ascii="Arial" w:hAnsi="Arial" w:cs="Arial"/>
          <w:sz w:val="20"/>
          <w:szCs w:val="20"/>
        </w:rPr>
        <w:t>program</w:t>
      </w:r>
      <w:proofErr w:type="gramEnd"/>
      <w:r>
        <w:rPr>
          <w:rFonts w:ascii="Arial" w:hAnsi="Arial" w:cs="Arial"/>
          <w:sz w:val="20"/>
          <w:szCs w:val="20"/>
        </w:rPr>
        <w:t>. KEMA examined the residential lighting inventories and developed appropriate wattage ratios that were well supported by the sample sizes.</w:t>
      </w:r>
      <w:r w:rsidR="00EA003E">
        <w:rPr>
          <w:rFonts w:ascii="Arial" w:hAnsi="Arial" w:cs="Arial"/>
          <w:sz w:val="20"/>
          <w:szCs w:val="20"/>
        </w:rPr>
        <w:t xml:space="preserve"> </w:t>
      </w:r>
      <w:proofErr w:type="gramStart"/>
      <w:r w:rsidR="00EA003E">
        <w:rPr>
          <w:rFonts w:ascii="Arial" w:hAnsi="Arial" w:cs="Arial"/>
          <w:sz w:val="20"/>
          <w:szCs w:val="20"/>
        </w:rPr>
        <w:t xml:space="preserve">The table below compares </w:t>
      </w:r>
      <w:r w:rsidR="00F9205F">
        <w:rPr>
          <w:rFonts w:ascii="Arial" w:hAnsi="Arial" w:cs="Arial"/>
          <w:sz w:val="20"/>
          <w:szCs w:val="20"/>
        </w:rPr>
        <w:t>DEER v4.00 (2011) and v2.05 (2008)</w:t>
      </w:r>
      <w:r w:rsidR="00EA003E">
        <w:rPr>
          <w:rFonts w:ascii="Arial" w:hAnsi="Arial" w:cs="Arial"/>
          <w:sz w:val="20"/>
          <w:szCs w:val="20"/>
        </w:rPr>
        <w:t xml:space="preserve"> CFL wattage reduction ratios.</w:t>
      </w:r>
      <w:proofErr w:type="gramEnd"/>
    </w:p>
    <w:p w:rsidR="00921B95" w:rsidRDefault="00921B95" w:rsidP="00C23C3B">
      <w:pPr>
        <w:ind w:left="720"/>
        <w:rPr>
          <w:rFonts w:ascii="Arial" w:hAnsi="Arial" w:cs="Arial"/>
          <w:sz w:val="20"/>
          <w:szCs w:val="20"/>
        </w:rPr>
      </w:pPr>
    </w:p>
    <w:p w:rsidR="00921B95" w:rsidRDefault="00921B95" w:rsidP="00921B95">
      <w:pPr>
        <w:pStyle w:val="Caption"/>
        <w:keepNext/>
      </w:pPr>
      <w:r>
        <w:lastRenderedPageBreak/>
        <w:tab/>
        <w:t>Wattage Reduction Ratio Recommendations for Short Term update</w:t>
      </w:r>
    </w:p>
    <w:tbl>
      <w:tblPr>
        <w:tblW w:w="6160" w:type="dxa"/>
        <w:tblInd w:w="828" w:type="dxa"/>
        <w:tblLook w:val="04A0" w:firstRow="1" w:lastRow="0" w:firstColumn="1" w:lastColumn="0" w:noHBand="0" w:noVBand="1"/>
      </w:tblPr>
      <w:tblGrid>
        <w:gridCol w:w="1300"/>
        <w:gridCol w:w="1700"/>
        <w:gridCol w:w="1640"/>
        <w:gridCol w:w="1520"/>
      </w:tblGrid>
      <w:tr w:rsidR="00921B95" w:rsidRPr="00325797" w:rsidTr="00921B95">
        <w:trPr>
          <w:trHeight w:val="720"/>
        </w:trPr>
        <w:tc>
          <w:tcPr>
            <w:tcW w:w="1300" w:type="dxa"/>
            <w:tcBorders>
              <w:top w:val="single" w:sz="8" w:space="0" w:color="auto"/>
              <w:left w:val="single" w:sz="8" w:space="0" w:color="auto"/>
              <w:bottom w:val="single" w:sz="8" w:space="0" w:color="auto"/>
              <w:right w:val="single" w:sz="4" w:space="0" w:color="auto"/>
            </w:tcBorders>
            <w:vAlign w:val="bottom"/>
            <w:hideMark/>
          </w:tcPr>
          <w:p w:rsidR="00921B95" w:rsidRPr="00325797" w:rsidRDefault="00921B95" w:rsidP="00EA003E">
            <w:pPr>
              <w:keepNext/>
              <w:jc w:val="center"/>
              <w:rPr>
                <w:rFonts w:ascii="Calibri" w:hAnsi="Calibri"/>
                <w:b/>
                <w:bCs/>
                <w:color w:val="000000"/>
              </w:rPr>
            </w:pPr>
            <w:r w:rsidRPr="00325797">
              <w:rPr>
                <w:rFonts w:ascii="Calibri" w:hAnsi="Calibri"/>
                <w:b/>
                <w:bCs/>
                <w:color w:val="000000"/>
              </w:rPr>
              <w:t>Location</w:t>
            </w:r>
          </w:p>
        </w:tc>
        <w:tc>
          <w:tcPr>
            <w:tcW w:w="1700" w:type="dxa"/>
            <w:tcBorders>
              <w:top w:val="single" w:sz="8" w:space="0" w:color="auto"/>
              <w:left w:val="nil"/>
              <w:bottom w:val="single" w:sz="8" w:space="0" w:color="auto"/>
              <w:right w:val="single" w:sz="4" w:space="0" w:color="auto"/>
            </w:tcBorders>
            <w:vAlign w:val="bottom"/>
            <w:hideMark/>
          </w:tcPr>
          <w:p w:rsidR="00921B95" w:rsidRPr="00325797" w:rsidRDefault="00921B95" w:rsidP="00EA003E">
            <w:pPr>
              <w:keepNext/>
              <w:jc w:val="center"/>
              <w:rPr>
                <w:rFonts w:ascii="Calibri" w:hAnsi="Calibri"/>
                <w:b/>
                <w:bCs/>
                <w:color w:val="000000"/>
              </w:rPr>
            </w:pPr>
            <w:r w:rsidRPr="00325797">
              <w:rPr>
                <w:rFonts w:ascii="Calibri" w:hAnsi="Calibri"/>
                <w:b/>
                <w:bCs/>
                <w:color w:val="000000"/>
              </w:rPr>
              <w:t>Lamp Shape</w:t>
            </w:r>
          </w:p>
        </w:tc>
        <w:tc>
          <w:tcPr>
            <w:tcW w:w="1640" w:type="dxa"/>
            <w:tcBorders>
              <w:top w:val="single" w:sz="8" w:space="0" w:color="auto"/>
              <w:left w:val="nil"/>
              <w:bottom w:val="single" w:sz="8" w:space="0" w:color="auto"/>
              <w:right w:val="single" w:sz="4" w:space="0" w:color="auto"/>
            </w:tcBorders>
            <w:vAlign w:val="bottom"/>
            <w:hideMark/>
          </w:tcPr>
          <w:p w:rsidR="00921B95" w:rsidRPr="00325797" w:rsidRDefault="00921B95" w:rsidP="00EA003E">
            <w:pPr>
              <w:keepNext/>
              <w:jc w:val="center"/>
              <w:rPr>
                <w:rFonts w:ascii="Calibri" w:hAnsi="Calibri"/>
                <w:b/>
                <w:bCs/>
                <w:color w:val="000000"/>
              </w:rPr>
            </w:pPr>
            <w:r>
              <w:rPr>
                <w:rFonts w:ascii="Calibri" w:hAnsi="Calibri"/>
                <w:b/>
                <w:bCs/>
                <w:color w:val="000000"/>
              </w:rPr>
              <w:t>DEER 2011</w:t>
            </w:r>
          </w:p>
        </w:tc>
        <w:tc>
          <w:tcPr>
            <w:tcW w:w="1520" w:type="dxa"/>
            <w:tcBorders>
              <w:top w:val="single" w:sz="8" w:space="0" w:color="auto"/>
              <w:left w:val="nil"/>
              <w:bottom w:val="single" w:sz="8" w:space="0" w:color="auto"/>
              <w:right w:val="single" w:sz="8" w:space="0" w:color="auto"/>
            </w:tcBorders>
            <w:vAlign w:val="bottom"/>
            <w:hideMark/>
          </w:tcPr>
          <w:p w:rsidR="00921B95" w:rsidRPr="00325797" w:rsidRDefault="00921B95" w:rsidP="00EA003E">
            <w:pPr>
              <w:keepNext/>
              <w:jc w:val="center"/>
              <w:rPr>
                <w:rFonts w:ascii="Calibri" w:hAnsi="Calibri"/>
                <w:b/>
                <w:bCs/>
                <w:color w:val="000000"/>
              </w:rPr>
            </w:pPr>
            <w:r>
              <w:rPr>
                <w:rFonts w:ascii="Calibri" w:hAnsi="Calibri"/>
                <w:b/>
                <w:bCs/>
                <w:color w:val="000000"/>
              </w:rPr>
              <w:t>DEER 2008</w:t>
            </w:r>
          </w:p>
        </w:tc>
      </w:tr>
      <w:tr w:rsidR="00921B95" w:rsidRPr="00325797" w:rsidTr="00921B95">
        <w:trPr>
          <w:trHeight w:val="330"/>
        </w:trPr>
        <w:tc>
          <w:tcPr>
            <w:tcW w:w="1300" w:type="dxa"/>
            <w:tcBorders>
              <w:top w:val="nil"/>
              <w:left w:val="single" w:sz="8" w:space="0" w:color="auto"/>
              <w:bottom w:val="single" w:sz="4" w:space="0" w:color="auto"/>
              <w:right w:val="single" w:sz="4"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INTERIOR</w:t>
            </w:r>
          </w:p>
        </w:tc>
        <w:tc>
          <w:tcPr>
            <w:tcW w:w="1700" w:type="dxa"/>
            <w:tcBorders>
              <w:top w:val="nil"/>
              <w:left w:val="nil"/>
              <w:bottom w:val="single" w:sz="4" w:space="0" w:color="auto"/>
              <w:right w:val="single" w:sz="4"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REFLECTOR</w:t>
            </w:r>
          </w:p>
        </w:tc>
        <w:tc>
          <w:tcPr>
            <w:tcW w:w="1640" w:type="dxa"/>
            <w:tcBorders>
              <w:top w:val="nil"/>
              <w:left w:val="nil"/>
              <w:bottom w:val="single" w:sz="4" w:space="0" w:color="auto"/>
              <w:right w:val="single" w:sz="4"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4.09</w:t>
            </w:r>
          </w:p>
        </w:tc>
        <w:tc>
          <w:tcPr>
            <w:tcW w:w="1520" w:type="dxa"/>
            <w:tcBorders>
              <w:top w:val="nil"/>
              <w:left w:val="nil"/>
              <w:bottom w:val="single" w:sz="4" w:space="0" w:color="auto"/>
              <w:right w:val="single" w:sz="8"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3.53</w:t>
            </w:r>
          </w:p>
        </w:tc>
      </w:tr>
      <w:tr w:rsidR="00921B95" w:rsidRPr="00325797" w:rsidTr="00921B95">
        <w:trPr>
          <w:trHeight w:val="330"/>
        </w:trPr>
        <w:tc>
          <w:tcPr>
            <w:tcW w:w="1300" w:type="dxa"/>
            <w:tcBorders>
              <w:top w:val="nil"/>
              <w:left w:val="single" w:sz="8" w:space="0" w:color="auto"/>
              <w:bottom w:val="single" w:sz="4" w:space="0" w:color="auto"/>
              <w:right w:val="single" w:sz="4"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INTERIOR</w:t>
            </w:r>
          </w:p>
        </w:tc>
        <w:tc>
          <w:tcPr>
            <w:tcW w:w="1700" w:type="dxa"/>
            <w:tcBorders>
              <w:top w:val="nil"/>
              <w:left w:val="nil"/>
              <w:bottom w:val="single" w:sz="4" w:space="0" w:color="auto"/>
              <w:right w:val="single" w:sz="4"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ALL OTHER</w:t>
            </w:r>
          </w:p>
        </w:tc>
        <w:tc>
          <w:tcPr>
            <w:tcW w:w="1640" w:type="dxa"/>
            <w:tcBorders>
              <w:top w:val="nil"/>
              <w:left w:val="nil"/>
              <w:bottom w:val="single" w:sz="4" w:space="0" w:color="auto"/>
              <w:right w:val="single" w:sz="4"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3.47</w:t>
            </w:r>
          </w:p>
        </w:tc>
        <w:tc>
          <w:tcPr>
            <w:tcW w:w="1520" w:type="dxa"/>
            <w:tcBorders>
              <w:top w:val="nil"/>
              <w:left w:val="nil"/>
              <w:bottom w:val="single" w:sz="4" w:space="0" w:color="auto"/>
              <w:right w:val="single" w:sz="8" w:space="0" w:color="auto"/>
            </w:tcBorders>
            <w:vAlign w:val="bottom"/>
            <w:hideMark/>
          </w:tcPr>
          <w:p w:rsidR="00921B95" w:rsidRPr="00325797" w:rsidRDefault="00921B95" w:rsidP="00EA003E">
            <w:pPr>
              <w:keepNext/>
              <w:jc w:val="center"/>
              <w:rPr>
                <w:rFonts w:ascii="Calibri" w:hAnsi="Calibri"/>
                <w:color w:val="000000"/>
              </w:rPr>
            </w:pPr>
            <w:r w:rsidRPr="00325797">
              <w:rPr>
                <w:rFonts w:ascii="Calibri" w:hAnsi="Calibri"/>
                <w:color w:val="000000"/>
              </w:rPr>
              <w:t>3.53</w:t>
            </w:r>
          </w:p>
        </w:tc>
      </w:tr>
      <w:tr w:rsidR="00921B95" w:rsidRPr="00325797" w:rsidTr="00921B95">
        <w:trPr>
          <w:trHeight w:val="330"/>
        </w:trPr>
        <w:tc>
          <w:tcPr>
            <w:tcW w:w="1300" w:type="dxa"/>
            <w:tcBorders>
              <w:top w:val="nil"/>
              <w:left w:val="single" w:sz="8" w:space="0" w:color="auto"/>
              <w:bottom w:val="single" w:sz="8" w:space="0" w:color="auto"/>
              <w:right w:val="single" w:sz="4" w:space="0" w:color="auto"/>
            </w:tcBorders>
            <w:vAlign w:val="bottom"/>
            <w:hideMark/>
          </w:tcPr>
          <w:p w:rsidR="00921B95" w:rsidRPr="00325797" w:rsidRDefault="00921B95" w:rsidP="00A158A4">
            <w:pPr>
              <w:jc w:val="center"/>
              <w:rPr>
                <w:rFonts w:ascii="Calibri" w:hAnsi="Calibri"/>
                <w:color w:val="000000"/>
              </w:rPr>
            </w:pPr>
            <w:r w:rsidRPr="00325797">
              <w:rPr>
                <w:rFonts w:ascii="Calibri" w:hAnsi="Calibri"/>
                <w:color w:val="000000"/>
              </w:rPr>
              <w:t>EXTERIOR</w:t>
            </w:r>
          </w:p>
        </w:tc>
        <w:tc>
          <w:tcPr>
            <w:tcW w:w="1700" w:type="dxa"/>
            <w:tcBorders>
              <w:top w:val="nil"/>
              <w:left w:val="nil"/>
              <w:bottom w:val="single" w:sz="8" w:space="0" w:color="auto"/>
              <w:right w:val="single" w:sz="4" w:space="0" w:color="auto"/>
            </w:tcBorders>
            <w:vAlign w:val="bottom"/>
            <w:hideMark/>
          </w:tcPr>
          <w:p w:rsidR="00921B95" w:rsidRPr="00325797" w:rsidRDefault="00921B95" w:rsidP="00A158A4">
            <w:pPr>
              <w:jc w:val="center"/>
              <w:rPr>
                <w:rFonts w:ascii="Calibri" w:hAnsi="Calibri"/>
                <w:color w:val="000000"/>
              </w:rPr>
            </w:pPr>
            <w:r w:rsidRPr="00325797">
              <w:rPr>
                <w:rFonts w:ascii="Calibri" w:hAnsi="Calibri"/>
                <w:color w:val="000000"/>
              </w:rPr>
              <w:t>All</w:t>
            </w:r>
          </w:p>
        </w:tc>
        <w:tc>
          <w:tcPr>
            <w:tcW w:w="1640" w:type="dxa"/>
            <w:tcBorders>
              <w:top w:val="nil"/>
              <w:left w:val="nil"/>
              <w:bottom w:val="single" w:sz="8" w:space="0" w:color="auto"/>
              <w:right w:val="single" w:sz="4" w:space="0" w:color="auto"/>
            </w:tcBorders>
            <w:vAlign w:val="bottom"/>
            <w:hideMark/>
          </w:tcPr>
          <w:p w:rsidR="00921B95" w:rsidRPr="00325797" w:rsidRDefault="00921B95" w:rsidP="00A158A4">
            <w:pPr>
              <w:jc w:val="center"/>
              <w:rPr>
                <w:rFonts w:ascii="Calibri" w:hAnsi="Calibri"/>
                <w:color w:val="000000"/>
              </w:rPr>
            </w:pPr>
            <w:r w:rsidRPr="00325797">
              <w:rPr>
                <w:rFonts w:ascii="Calibri" w:hAnsi="Calibri"/>
                <w:color w:val="000000"/>
              </w:rPr>
              <w:t>4.07</w:t>
            </w:r>
          </w:p>
        </w:tc>
        <w:tc>
          <w:tcPr>
            <w:tcW w:w="1520" w:type="dxa"/>
            <w:tcBorders>
              <w:top w:val="nil"/>
              <w:left w:val="nil"/>
              <w:bottom w:val="single" w:sz="8" w:space="0" w:color="auto"/>
              <w:right w:val="single" w:sz="8" w:space="0" w:color="auto"/>
            </w:tcBorders>
            <w:vAlign w:val="bottom"/>
            <w:hideMark/>
          </w:tcPr>
          <w:p w:rsidR="00921B95" w:rsidRPr="00325797" w:rsidRDefault="00921B95" w:rsidP="00A158A4">
            <w:pPr>
              <w:jc w:val="center"/>
              <w:rPr>
                <w:rFonts w:ascii="Calibri" w:hAnsi="Calibri"/>
                <w:color w:val="000000"/>
              </w:rPr>
            </w:pPr>
            <w:r w:rsidRPr="00325797">
              <w:rPr>
                <w:rFonts w:ascii="Calibri" w:hAnsi="Calibri"/>
                <w:color w:val="000000"/>
              </w:rPr>
              <w:t>3.53</w:t>
            </w:r>
          </w:p>
        </w:tc>
      </w:tr>
    </w:tbl>
    <w:p w:rsidR="00921B95" w:rsidRDefault="00921B95" w:rsidP="00C23C3B">
      <w:pPr>
        <w:ind w:left="720"/>
        <w:rPr>
          <w:rFonts w:ascii="Arial" w:hAnsi="Arial" w:cs="Arial"/>
          <w:sz w:val="20"/>
          <w:szCs w:val="20"/>
        </w:rPr>
      </w:pPr>
    </w:p>
    <w:p w:rsidR="000311EE" w:rsidRDefault="000311EE" w:rsidP="000311EE">
      <w:pPr>
        <w:pStyle w:val="Heading3"/>
        <w:ind w:left="720"/>
      </w:pPr>
      <w:bookmarkStart w:id="28" w:name="FrgRt"/>
      <w:bookmarkStart w:id="29" w:name="_Toc308511036"/>
      <w:bookmarkEnd w:id="28"/>
      <w:r>
        <w:t>Residential Refrigerator Equipment Rating set point</w:t>
      </w:r>
      <w:bookmarkEnd w:id="29"/>
    </w:p>
    <w:p w:rsidR="000311EE" w:rsidRPr="00BB7FD4" w:rsidRDefault="000311EE" w:rsidP="000311EE">
      <w:pPr>
        <w:ind w:left="720"/>
        <w:rPr>
          <w:rFonts w:ascii="Arial" w:hAnsi="Arial" w:cs="Arial"/>
          <w:sz w:val="20"/>
          <w:szCs w:val="20"/>
        </w:rPr>
      </w:pPr>
      <w:r w:rsidRPr="00BB7FD4">
        <w:rPr>
          <w:rFonts w:ascii="Arial" w:hAnsi="Arial" w:cs="Arial"/>
          <w:sz w:val="20"/>
          <w:szCs w:val="20"/>
        </w:rPr>
        <w:t xml:space="preserve">The new </w:t>
      </w:r>
      <w:r w:rsidR="001E136B" w:rsidRPr="00BB7FD4">
        <w:rPr>
          <w:rFonts w:ascii="Arial" w:hAnsi="Arial" w:cs="Arial"/>
          <w:sz w:val="20"/>
          <w:szCs w:val="20"/>
        </w:rPr>
        <w:t xml:space="preserve">“EQUIP-RATED-T” </w:t>
      </w:r>
      <w:r w:rsidRPr="00BB7FD4">
        <w:rPr>
          <w:rFonts w:ascii="Arial" w:hAnsi="Arial" w:cs="Arial"/>
          <w:sz w:val="20"/>
          <w:szCs w:val="20"/>
        </w:rPr>
        <w:t>keyword in DOE2 was not specified correctly</w:t>
      </w:r>
      <w:r w:rsidR="001E136B" w:rsidRPr="00BB7FD4">
        <w:rPr>
          <w:rFonts w:ascii="Arial" w:hAnsi="Arial" w:cs="Arial"/>
          <w:sz w:val="20"/>
          <w:szCs w:val="20"/>
        </w:rPr>
        <w:t xml:space="preserve"> for the simulation of residential refrigerators.  This change impacts refrigerators simulated in the house as well as those simulated in the unconditioned garage</w:t>
      </w:r>
      <w:r w:rsidRPr="00BB7FD4">
        <w:rPr>
          <w:rFonts w:ascii="Arial" w:hAnsi="Arial" w:cs="Arial"/>
          <w:sz w:val="20"/>
          <w:szCs w:val="20"/>
        </w:rPr>
        <w:t xml:space="preserve">.  The specified value of 90 °F </w:t>
      </w:r>
      <w:r w:rsidR="001E136B" w:rsidRPr="00BB7FD4">
        <w:rPr>
          <w:rFonts w:ascii="Arial" w:hAnsi="Arial" w:cs="Arial"/>
          <w:sz w:val="20"/>
          <w:szCs w:val="20"/>
        </w:rPr>
        <w:t xml:space="preserve">corresponds to the DOE rating condition for refrigerators, but for these simulations, the value must correspond to the temperature at which the specified “EQUIP-PWR-FT” curve returns </w:t>
      </w:r>
      <w:r w:rsidR="0082036D" w:rsidRPr="00BB7FD4">
        <w:rPr>
          <w:rFonts w:ascii="Arial" w:hAnsi="Arial" w:cs="Arial"/>
          <w:sz w:val="20"/>
          <w:szCs w:val="20"/>
        </w:rPr>
        <w:t xml:space="preserve">a value of </w:t>
      </w:r>
      <w:r w:rsidR="001E136B" w:rsidRPr="00BB7FD4">
        <w:rPr>
          <w:rFonts w:ascii="Arial" w:hAnsi="Arial" w:cs="Arial"/>
          <w:sz w:val="20"/>
          <w:szCs w:val="20"/>
        </w:rPr>
        <w:t xml:space="preserve">1.0.  This correction </w:t>
      </w:r>
      <w:r w:rsidR="0082036D" w:rsidRPr="00BB7FD4">
        <w:rPr>
          <w:rFonts w:ascii="Arial" w:hAnsi="Arial" w:cs="Arial"/>
          <w:sz w:val="20"/>
          <w:szCs w:val="20"/>
        </w:rPr>
        <w:t xml:space="preserve">causes the simulated energy use of the refrigerators to increase </w:t>
      </w:r>
      <w:r w:rsidR="00A1194D" w:rsidRPr="00BB7FD4">
        <w:rPr>
          <w:rFonts w:ascii="Arial" w:hAnsi="Arial" w:cs="Arial"/>
          <w:sz w:val="20"/>
          <w:szCs w:val="20"/>
        </w:rPr>
        <w:t>by 17</w:t>
      </w:r>
      <w:r w:rsidR="0082036D" w:rsidRPr="00BB7FD4">
        <w:rPr>
          <w:rFonts w:ascii="Arial" w:hAnsi="Arial" w:cs="Arial"/>
          <w:sz w:val="20"/>
          <w:szCs w:val="20"/>
        </w:rPr>
        <w:t>%</w:t>
      </w:r>
      <w:r w:rsidR="00A1194D" w:rsidRPr="00BB7FD4">
        <w:rPr>
          <w:rFonts w:ascii="Arial" w:hAnsi="Arial" w:cs="Arial"/>
          <w:sz w:val="20"/>
          <w:szCs w:val="20"/>
        </w:rPr>
        <w:t xml:space="preserve"> in conditioned spaces and by as much as 22% in unconditioned spaces.</w:t>
      </w:r>
      <w:r w:rsidR="00AF1900" w:rsidRPr="00BB7FD4">
        <w:rPr>
          <w:rFonts w:ascii="Arial" w:hAnsi="Arial" w:cs="Arial"/>
          <w:sz w:val="20"/>
          <w:szCs w:val="20"/>
        </w:rPr>
        <w:t xml:space="preserve">  </w:t>
      </w:r>
    </w:p>
    <w:p w:rsidR="004927F4" w:rsidRDefault="004927F4">
      <w:pPr>
        <w:ind w:left="720"/>
      </w:pPr>
    </w:p>
    <w:p w:rsidR="004927F4" w:rsidRDefault="004927F4">
      <w:pPr>
        <w:pStyle w:val="Heading3"/>
        <w:ind w:left="720"/>
      </w:pPr>
      <w:bookmarkStart w:id="30" w:name="_Toc308511037"/>
      <w:bookmarkStart w:id="31" w:name="Peak"/>
      <w:bookmarkEnd w:id="31"/>
      <w:r>
        <w:t>Peak-Period Demand Issues</w:t>
      </w:r>
      <w:bookmarkEnd w:id="30"/>
    </w:p>
    <w:p w:rsidR="004927F4" w:rsidRDefault="004927F4">
      <w:pPr>
        <w:ind w:left="720"/>
        <w:rPr>
          <w:rFonts w:ascii="Arial" w:hAnsi="Arial" w:cs="Arial"/>
          <w:sz w:val="20"/>
          <w:szCs w:val="20"/>
        </w:rPr>
      </w:pPr>
      <w:r>
        <w:rPr>
          <w:rFonts w:ascii="Arial" w:hAnsi="Arial" w:cs="Arial"/>
          <w:sz w:val="20"/>
          <w:szCs w:val="20"/>
        </w:rPr>
        <w:t xml:space="preserve">In order to make results from standard energy simulation programs (specifically, </w:t>
      </w:r>
      <w:proofErr w:type="spellStart"/>
      <w:r>
        <w:rPr>
          <w:rFonts w:ascii="Arial" w:hAnsi="Arial" w:cs="Arial"/>
          <w:sz w:val="20"/>
          <w:szCs w:val="20"/>
        </w:rPr>
        <w:t>eQUEST</w:t>
      </w:r>
      <w:proofErr w:type="spellEnd"/>
      <w:r>
        <w:rPr>
          <w:rFonts w:ascii="Arial" w:hAnsi="Arial" w:cs="Arial"/>
          <w:sz w:val="20"/>
          <w:szCs w:val="20"/>
        </w:rPr>
        <w:t xml:space="preserve">) consistent with the DEER demand impact results, the calculation used by the MAS tool to determine the demand impact was modified.  The basic calculation remains the same: the demand savings due to an energy efficiency measure is calculated as the average reduction in energy use over a defined nine-hour demand period.  The previous database version used the smoothed hourly impacts as the basis for these calculations while the latest version uses the </w:t>
      </w:r>
      <w:r w:rsidR="005C0ACE">
        <w:rPr>
          <w:rFonts w:ascii="Arial" w:hAnsi="Arial" w:cs="Arial"/>
          <w:sz w:val="20"/>
          <w:szCs w:val="20"/>
        </w:rPr>
        <w:t>non-modified results from the DOE2 simulations</w:t>
      </w:r>
      <w:r>
        <w:rPr>
          <w:rFonts w:ascii="Arial" w:hAnsi="Arial" w:cs="Arial"/>
          <w:sz w:val="20"/>
          <w:szCs w:val="20"/>
        </w:rPr>
        <w:t xml:space="preserve">.  </w:t>
      </w:r>
    </w:p>
    <w:p w:rsidR="004927F4" w:rsidRDefault="004927F4">
      <w:pPr>
        <w:ind w:left="720"/>
        <w:rPr>
          <w:rFonts w:ascii="Arial" w:hAnsi="Arial" w:cs="Arial"/>
          <w:sz w:val="20"/>
          <w:szCs w:val="20"/>
        </w:rPr>
      </w:pPr>
    </w:p>
    <w:p w:rsidR="004927F4" w:rsidRDefault="004927F4">
      <w:pPr>
        <w:ind w:left="720"/>
      </w:pPr>
      <w:r>
        <w:rPr>
          <w:rFonts w:ascii="Arial" w:hAnsi="Arial" w:cs="Arial"/>
          <w:sz w:val="20"/>
          <w:szCs w:val="20"/>
        </w:rPr>
        <w:t xml:space="preserve">The difference in the demand values between these two methods is typically quite small, but occasional large deviations from expected values were observed.  </w:t>
      </w:r>
      <w:r w:rsidR="00F958B5">
        <w:rPr>
          <w:rFonts w:ascii="Arial" w:hAnsi="Arial" w:cs="Arial"/>
          <w:sz w:val="20"/>
          <w:szCs w:val="20"/>
        </w:rPr>
        <w:t>Changes to the HVAC control scheme for the affected system types were</w:t>
      </w:r>
      <w:r w:rsidR="00384A2B">
        <w:rPr>
          <w:rFonts w:ascii="Arial" w:hAnsi="Arial" w:cs="Arial"/>
          <w:sz w:val="20"/>
          <w:szCs w:val="20"/>
        </w:rPr>
        <w:t xml:space="preserve"> required in order to produce reliable </w:t>
      </w:r>
      <w:r>
        <w:rPr>
          <w:rFonts w:ascii="Arial" w:hAnsi="Arial" w:cs="Arial"/>
          <w:sz w:val="20"/>
          <w:szCs w:val="20"/>
        </w:rPr>
        <w:t>demand results</w:t>
      </w:r>
      <w:r w:rsidR="00384A2B">
        <w:rPr>
          <w:rFonts w:ascii="Arial" w:hAnsi="Arial" w:cs="Arial"/>
          <w:sz w:val="20"/>
          <w:szCs w:val="20"/>
        </w:rPr>
        <w:t xml:space="preserve">.  These changes to the HVAC controls resulted in </w:t>
      </w:r>
      <w:r>
        <w:rPr>
          <w:rFonts w:ascii="Arial" w:hAnsi="Arial" w:cs="Arial"/>
          <w:sz w:val="20"/>
          <w:szCs w:val="20"/>
        </w:rPr>
        <w:t>very little difference to the annual energy savings</w:t>
      </w:r>
      <w:r w:rsidR="00384A2B">
        <w:rPr>
          <w:rFonts w:ascii="Arial" w:hAnsi="Arial" w:cs="Arial"/>
          <w:sz w:val="20"/>
          <w:szCs w:val="20"/>
        </w:rPr>
        <w:t>, but much more predictable behavior during the peak demand period</w:t>
      </w:r>
      <w:r>
        <w:rPr>
          <w:rFonts w:ascii="Arial" w:hAnsi="Arial" w:cs="Arial"/>
          <w:sz w:val="20"/>
          <w:szCs w:val="20"/>
        </w:rPr>
        <w:t>.  The following changes were implemented for all appropriate system types:</w:t>
      </w:r>
    </w:p>
    <w:p w:rsidR="004927F4" w:rsidRDefault="004927F4">
      <w:pPr>
        <w:numPr>
          <w:ilvl w:val="0"/>
          <w:numId w:val="1"/>
        </w:numPr>
        <w:spacing w:before="100" w:beforeAutospacing="1" w:after="100" w:afterAutospacing="1"/>
      </w:pPr>
      <w:r>
        <w:rPr>
          <w:rFonts w:ascii="Arial" w:hAnsi="Arial" w:cs="Arial"/>
          <w:sz w:val="20"/>
          <w:szCs w:val="20"/>
        </w:rPr>
        <w:t xml:space="preserve">Night cycle control </w:t>
      </w:r>
      <w:proofErr w:type="spellStart"/>
      <w:r>
        <w:rPr>
          <w:rFonts w:ascii="Arial" w:hAnsi="Arial" w:cs="Arial"/>
          <w:sz w:val="20"/>
          <w:szCs w:val="20"/>
        </w:rPr>
        <w:t>setpoints</w:t>
      </w:r>
      <w:proofErr w:type="spellEnd"/>
      <w:r>
        <w:rPr>
          <w:rFonts w:ascii="Arial" w:hAnsi="Arial" w:cs="Arial"/>
          <w:sz w:val="20"/>
          <w:szCs w:val="20"/>
        </w:rPr>
        <w:t xml:space="preserve"> were expanded (max 60 for heating and a minimum of 86 for cooling) so that the number of hours of night-cycling would not change significantly between the base and measures simulations.  Changes in the hours of night cycle control would occasionally shift the cooling load by an hour and result in relatively large differences in the hourly energy use of the base and measure simulations during the demand period.</w:t>
      </w:r>
    </w:p>
    <w:p w:rsidR="004927F4" w:rsidRDefault="004927F4">
      <w:pPr>
        <w:numPr>
          <w:ilvl w:val="0"/>
          <w:numId w:val="1"/>
        </w:numPr>
        <w:spacing w:before="100" w:beforeAutospacing="1" w:after="100" w:afterAutospacing="1"/>
      </w:pPr>
      <w:r>
        <w:rPr>
          <w:rFonts w:ascii="Arial" w:hAnsi="Arial" w:cs="Arial"/>
          <w:sz w:val="20"/>
          <w:szCs w:val="20"/>
        </w:rPr>
        <w:t>Outside air is turned off during night cycle control; though rare, the induction of some latent load associated with the outside air flow during night-cycling could exasperate the night-cycle issue discussed above.</w:t>
      </w:r>
    </w:p>
    <w:p w:rsidR="004927F4" w:rsidRDefault="004927F4">
      <w:pPr>
        <w:numPr>
          <w:ilvl w:val="0"/>
          <w:numId w:val="1"/>
        </w:numPr>
        <w:spacing w:before="100" w:beforeAutospacing="1" w:after="100" w:afterAutospacing="1"/>
      </w:pPr>
      <w:r>
        <w:rPr>
          <w:rFonts w:ascii="Arial" w:hAnsi="Arial" w:cs="Arial"/>
          <w:sz w:val="20"/>
          <w:szCs w:val="20"/>
        </w:rPr>
        <w:t>Space heating is turned off during the peak cooling period; though rare, the occasional need for space heating during the cooling season in some climate zones would shift cooling demands by an hour and cause large changes in the hourly demand between a base case simulation with high lighting loads and a measure case with low lighting loads.</w:t>
      </w:r>
    </w:p>
    <w:p w:rsidR="004927F4" w:rsidRDefault="004927F4">
      <w:pPr>
        <w:numPr>
          <w:ilvl w:val="0"/>
          <w:numId w:val="1"/>
        </w:numPr>
        <w:spacing w:before="100" w:beforeAutospacing="1" w:after="100" w:afterAutospacing="1"/>
      </w:pPr>
      <w:r>
        <w:rPr>
          <w:rFonts w:ascii="Arial" w:hAnsi="Arial" w:cs="Arial"/>
          <w:sz w:val="20"/>
          <w:szCs w:val="20"/>
        </w:rPr>
        <w:lastRenderedPageBreak/>
        <w:t>A single chiller is used for non-HVAC measures; this prevents a step-function change in demand when the controller switches between one and two chillers.  When appropriate, multiple chillers are still used for the analysis of HVAC measures.</w:t>
      </w:r>
    </w:p>
    <w:p w:rsidR="004927F4" w:rsidRDefault="004927F4"/>
    <w:p w:rsidR="004927F4" w:rsidRDefault="004927F4">
      <w:pPr>
        <w:pStyle w:val="Heading2"/>
      </w:pPr>
      <w:bookmarkStart w:id="32" w:name="_Toc308511038"/>
      <w:r>
        <w:t>Additions to the DEER database</w:t>
      </w:r>
      <w:bookmarkEnd w:id="32"/>
    </w:p>
    <w:p w:rsidR="004927F4" w:rsidRDefault="004927F4">
      <w:r>
        <w:t xml:space="preserve">A number of additions were made to the DEER database </w:t>
      </w:r>
      <w:r w:rsidR="005C0ACE">
        <w:t>at the request of the IOUs.</w:t>
      </w:r>
      <w:r>
        <w:t xml:space="preserve">  The following list summarizes these new entries: </w:t>
      </w:r>
    </w:p>
    <w:p w:rsidR="004927F4" w:rsidRDefault="004927F4">
      <w:pPr>
        <w:numPr>
          <w:ilvl w:val="0"/>
          <w:numId w:val="1"/>
        </w:numPr>
        <w:spacing w:before="100" w:beforeAutospacing="1" w:after="100" w:afterAutospacing="1"/>
      </w:pPr>
      <w:bookmarkStart w:id="33" w:name="NoResLight"/>
      <w:bookmarkStart w:id="34" w:name="_Toc308511039"/>
      <w:bookmarkEnd w:id="33"/>
      <w:r w:rsidRPr="007135BB">
        <w:rPr>
          <w:rStyle w:val="Heading3Char"/>
          <w:rFonts w:cs="Arial"/>
          <w:bCs/>
          <w:szCs w:val="26"/>
        </w:rPr>
        <w:t>Non-residential lighting fixtures</w:t>
      </w:r>
      <w:bookmarkEnd w:id="34"/>
      <w:r>
        <w:rPr>
          <w:rFonts w:ascii="Arial" w:hAnsi="Arial" w:cs="Arial"/>
          <w:sz w:val="20"/>
          <w:szCs w:val="20"/>
        </w:rPr>
        <w:t>; over 100 new lighting measures were added to the database</w:t>
      </w:r>
      <w:r w:rsidR="00F958B5">
        <w:rPr>
          <w:rFonts w:ascii="Arial" w:hAnsi="Arial" w:cs="Arial"/>
          <w:sz w:val="20"/>
          <w:szCs w:val="20"/>
        </w:rPr>
        <w:t xml:space="preserve">.  </w:t>
      </w:r>
      <w:r w:rsidR="00CD67AF">
        <w:rPr>
          <w:rFonts w:ascii="Arial" w:hAnsi="Arial" w:cs="Arial"/>
          <w:sz w:val="20"/>
          <w:szCs w:val="20"/>
        </w:rPr>
        <w:t>R</w:t>
      </w:r>
      <w:r>
        <w:rPr>
          <w:rFonts w:ascii="Arial" w:hAnsi="Arial" w:cs="Arial"/>
          <w:sz w:val="20"/>
          <w:szCs w:val="20"/>
        </w:rPr>
        <w:t>efer to the accompanying spreadsheet for a description of all changes and additions.</w:t>
      </w:r>
      <w:r w:rsidR="0080520C">
        <w:rPr>
          <w:rFonts w:ascii="Arial" w:hAnsi="Arial" w:cs="Arial"/>
          <w:sz w:val="20"/>
          <w:szCs w:val="20"/>
        </w:rPr>
        <w:br/>
      </w:r>
    </w:p>
    <w:p w:rsidR="004927F4" w:rsidRPr="007933AB" w:rsidRDefault="003B6E45">
      <w:pPr>
        <w:numPr>
          <w:ilvl w:val="0"/>
          <w:numId w:val="1"/>
        </w:numPr>
        <w:spacing w:before="100" w:beforeAutospacing="1" w:after="100" w:afterAutospacing="1"/>
      </w:pPr>
      <w:bookmarkStart w:id="35" w:name="_Toc308511040"/>
      <w:r>
        <w:rPr>
          <w:rStyle w:val="Heading3Char"/>
          <w:rFonts w:cs="Arial"/>
          <w:bCs/>
          <w:szCs w:val="26"/>
        </w:rPr>
        <w:t>Updates for Code Baselines Based on EPACT and 2008 Title 24:</w:t>
      </w:r>
      <w:bookmarkEnd w:id="35"/>
      <w:r w:rsidR="004927F4">
        <w:rPr>
          <w:rFonts w:ascii="Arial" w:hAnsi="Arial" w:cs="Arial"/>
          <w:sz w:val="20"/>
          <w:szCs w:val="20"/>
        </w:rPr>
        <w:t xml:space="preserve"> </w:t>
      </w:r>
      <w:r>
        <w:rPr>
          <w:rFonts w:ascii="Arial" w:hAnsi="Arial" w:cs="Arial"/>
          <w:sz w:val="20"/>
          <w:szCs w:val="20"/>
        </w:rPr>
        <w:t xml:space="preserve">For fixture replacement and early retirement measures that are covered by Title 24 LPD requirements, linear fluorescent fixture code baselines were revised to reflect the typical fixture needed to meet the new maximum installed lighting power requirements. In general, second generation T8 lamps and electronic ballasts are required. For retrofit measures, code baselines were revised or added to all four foot and 8 foot linear fluorescent measures to reflect </w:t>
      </w:r>
      <w:r w:rsidR="0020350D">
        <w:rPr>
          <w:rFonts w:ascii="Arial" w:hAnsi="Arial" w:cs="Arial"/>
          <w:sz w:val="20"/>
          <w:szCs w:val="20"/>
        </w:rPr>
        <w:t>the July 2012</w:t>
      </w:r>
      <w:r>
        <w:rPr>
          <w:rFonts w:ascii="Arial" w:hAnsi="Arial" w:cs="Arial"/>
          <w:sz w:val="20"/>
          <w:szCs w:val="20"/>
        </w:rPr>
        <w:t xml:space="preserve"> federal prohibition of manufacture and sale of T12 lamps and magnetic ballasts. All code baselines now assume T8 lamps and electronic ballasts.</w:t>
      </w:r>
      <w:r w:rsidR="0080520C">
        <w:rPr>
          <w:rFonts w:ascii="Arial" w:hAnsi="Arial" w:cs="Arial"/>
          <w:sz w:val="20"/>
          <w:szCs w:val="20"/>
        </w:rPr>
        <w:br/>
      </w:r>
    </w:p>
    <w:p w:rsidR="00B71BFC" w:rsidRDefault="00B71BFC">
      <w:pPr>
        <w:numPr>
          <w:ilvl w:val="0"/>
          <w:numId w:val="1"/>
        </w:numPr>
        <w:spacing w:before="100" w:beforeAutospacing="1" w:after="100" w:afterAutospacing="1"/>
      </w:pPr>
      <w:bookmarkStart w:id="36" w:name="HotWtr"/>
      <w:bookmarkEnd w:id="36"/>
      <w:r>
        <w:rPr>
          <w:rFonts w:ascii="Arial" w:hAnsi="Arial" w:cs="Arial"/>
          <w:sz w:val="20"/>
          <w:szCs w:val="20"/>
        </w:rPr>
        <w:t xml:space="preserve">A total of </w:t>
      </w:r>
      <w:r w:rsidRPr="007135BB">
        <w:rPr>
          <w:rStyle w:val="Heading3Char"/>
          <w:rFonts w:cs="Arial"/>
          <w:bCs/>
          <w:szCs w:val="26"/>
        </w:rPr>
        <w:t>14 hot water and steam boiler measures</w:t>
      </w:r>
      <w:r>
        <w:rPr>
          <w:rFonts w:ascii="Arial" w:hAnsi="Arial" w:cs="Arial"/>
          <w:sz w:val="20"/>
          <w:szCs w:val="20"/>
        </w:rPr>
        <w:t xml:space="preserve"> were added to the non-residential measure list.</w:t>
      </w:r>
      <w:r w:rsidR="0080520C">
        <w:rPr>
          <w:rFonts w:ascii="Arial" w:hAnsi="Arial" w:cs="Arial"/>
          <w:sz w:val="20"/>
          <w:szCs w:val="20"/>
        </w:rPr>
        <w:br/>
      </w:r>
    </w:p>
    <w:p w:rsidR="004927F4" w:rsidRDefault="004927F4">
      <w:pPr>
        <w:numPr>
          <w:ilvl w:val="0"/>
          <w:numId w:val="1"/>
        </w:numPr>
        <w:spacing w:before="100" w:beforeAutospacing="1" w:after="100" w:afterAutospacing="1"/>
      </w:pPr>
      <w:bookmarkStart w:id="37" w:name="_Toc308511041"/>
      <w:r w:rsidRPr="007135BB">
        <w:rPr>
          <w:rStyle w:val="Heading3Char"/>
          <w:rFonts w:cs="Arial"/>
          <w:bCs/>
          <w:szCs w:val="26"/>
        </w:rPr>
        <w:t>Clothes washer and dishwasher measures</w:t>
      </w:r>
      <w:bookmarkEnd w:id="37"/>
      <w:r>
        <w:rPr>
          <w:rFonts w:ascii="Arial" w:hAnsi="Arial" w:cs="Arial"/>
          <w:sz w:val="20"/>
          <w:szCs w:val="20"/>
        </w:rPr>
        <w:t xml:space="preserve"> were added for all residential building types, including the multi-family apartment building.</w:t>
      </w:r>
      <w:r w:rsidR="0080520C">
        <w:rPr>
          <w:rFonts w:ascii="Arial" w:hAnsi="Arial" w:cs="Arial"/>
          <w:sz w:val="20"/>
          <w:szCs w:val="20"/>
        </w:rPr>
        <w:br/>
      </w:r>
    </w:p>
    <w:p w:rsidR="004927F4" w:rsidRPr="00E0228F" w:rsidRDefault="004927F4">
      <w:pPr>
        <w:numPr>
          <w:ilvl w:val="0"/>
          <w:numId w:val="1"/>
        </w:numPr>
        <w:spacing w:before="100" w:beforeAutospacing="1" w:after="100" w:afterAutospacing="1"/>
      </w:pPr>
      <w:bookmarkStart w:id="38" w:name="_Toc308511042"/>
      <w:r w:rsidRPr="007135BB">
        <w:rPr>
          <w:rStyle w:val="Heading3Char"/>
          <w:rFonts w:cs="Arial"/>
          <w:bCs/>
          <w:szCs w:val="26"/>
        </w:rPr>
        <w:t>Residential multi-family prototype</w:t>
      </w:r>
      <w:bookmarkEnd w:id="38"/>
      <w:r>
        <w:rPr>
          <w:rFonts w:ascii="Arial" w:hAnsi="Arial" w:cs="Arial"/>
          <w:sz w:val="20"/>
          <w:szCs w:val="20"/>
        </w:rPr>
        <w:t xml:space="preserve"> is now included in the database.  All residential measures defined for the single-family building type have adapted to the multi-family prototype.  Additional measures specific to the multi-family building type have also been added, including common water heater measure and common clothes washer measures.</w:t>
      </w:r>
      <w:r w:rsidR="0080520C">
        <w:rPr>
          <w:rFonts w:ascii="Arial" w:hAnsi="Arial" w:cs="Arial"/>
          <w:sz w:val="20"/>
          <w:szCs w:val="20"/>
        </w:rPr>
        <w:br/>
      </w:r>
    </w:p>
    <w:p w:rsidR="00E0228F" w:rsidRPr="00AE403A" w:rsidRDefault="00E0228F">
      <w:pPr>
        <w:numPr>
          <w:ilvl w:val="0"/>
          <w:numId w:val="1"/>
        </w:numPr>
        <w:spacing w:before="100" w:beforeAutospacing="1" w:after="100" w:afterAutospacing="1"/>
        <w:rPr>
          <w:rFonts w:ascii="Arial" w:hAnsi="Arial" w:cs="Arial"/>
          <w:sz w:val="20"/>
        </w:rPr>
      </w:pPr>
      <w:bookmarkStart w:id="39" w:name="_Toc308511043"/>
      <w:r w:rsidRPr="00AE403A">
        <w:rPr>
          <w:rStyle w:val="Heading3Char"/>
          <w:rFonts w:cs="Arial"/>
          <w:bCs/>
          <w:szCs w:val="26"/>
        </w:rPr>
        <w:t>Residential and nonresidential high efficiency heat pump measures</w:t>
      </w:r>
      <w:bookmarkEnd w:id="39"/>
      <w:r w:rsidRPr="00FB03E7">
        <w:t xml:space="preserve"> </w:t>
      </w:r>
      <w:r w:rsidRPr="00AE403A">
        <w:rPr>
          <w:rFonts w:ascii="Arial" w:hAnsi="Arial" w:cs="Arial"/>
          <w:sz w:val="20"/>
        </w:rPr>
        <w:t xml:space="preserve">are now included in the database. These include residential heat pumps ranging from 13 SEER to 18 SEER and nonresidential heat pumps that align with the latest high efficiency tiers established by the </w:t>
      </w:r>
      <w:r w:rsidR="00022908" w:rsidRPr="00AE403A">
        <w:rPr>
          <w:rFonts w:ascii="Arial" w:hAnsi="Arial" w:cs="Arial"/>
          <w:sz w:val="20"/>
        </w:rPr>
        <w:t>Consortium</w:t>
      </w:r>
      <w:r w:rsidRPr="00AE403A">
        <w:rPr>
          <w:rFonts w:ascii="Arial" w:hAnsi="Arial" w:cs="Arial"/>
          <w:sz w:val="20"/>
        </w:rPr>
        <w:t xml:space="preserve"> for Energy Efficiency</w:t>
      </w:r>
      <w:r w:rsidR="00022908">
        <w:rPr>
          <w:rFonts w:ascii="Arial" w:hAnsi="Arial" w:cs="Arial"/>
          <w:sz w:val="20"/>
        </w:rPr>
        <w:t xml:space="preserve"> (CEE</w:t>
      </w:r>
      <w:r w:rsidRPr="00AE403A">
        <w:rPr>
          <w:rFonts w:ascii="Arial" w:hAnsi="Arial" w:cs="Arial"/>
          <w:sz w:val="20"/>
        </w:rPr>
        <w:t>.</w:t>
      </w:r>
      <w:r w:rsidR="00022908">
        <w:rPr>
          <w:rFonts w:ascii="Arial" w:hAnsi="Arial" w:cs="Arial"/>
          <w:sz w:val="20"/>
        </w:rPr>
        <w:t>)</w:t>
      </w:r>
      <w:r w:rsidR="0080520C">
        <w:rPr>
          <w:rFonts w:ascii="Arial" w:hAnsi="Arial" w:cs="Arial"/>
          <w:sz w:val="20"/>
        </w:rPr>
        <w:br/>
      </w:r>
    </w:p>
    <w:p w:rsidR="00BC7E15" w:rsidRPr="00AE403A" w:rsidRDefault="00E0228F" w:rsidP="00594A15">
      <w:pPr>
        <w:numPr>
          <w:ilvl w:val="0"/>
          <w:numId w:val="1"/>
        </w:numPr>
        <w:spacing w:before="100" w:beforeAutospacing="1" w:after="100" w:afterAutospacing="1"/>
        <w:rPr>
          <w:rFonts w:ascii="Arial" w:hAnsi="Arial" w:cs="Arial"/>
          <w:sz w:val="20"/>
        </w:rPr>
      </w:pPr>
      <w:bookmarkStart w:id="40" w:name="Insulation"/>
      <w:bookmarkStart w:id="41" w:name="_Toc308511044"/>
      <w:bookmarkEnd w:id="40"/>
      <w:r>
        <w:rPr>
          <w:rStyle w:val="Heading3Char"/>
          <w:rFonts w:cs="Arial"/>
          <w:bCs/>
          <w:szCs w:val="26"/>
        </w:rPr>
        <w:t>Residential insulation retrofit</w:t>
      </w:r>
      <w:bookmarkEnd w:id="41"/>
      <w:r>
        <w:rPr>
          <w:rStyle w:val="Heading3Char"/>
          <w:rFonts w:cs="Arial"/>
          <w:bCs/>
          <w:szCs w:val="26"/>
        </w:rPr>
        <w:t xml:space="preserve"> </w:t>
      </w:r>
      <w:r w:rsidRPr="00AE403A">
        <w:rPr>
          <w:rFonts w:ascii="Arial" w:hAnsi="Arial" w:cs="Arial"/>
          <w:sz w:val="20"/>
        </w:rPr>
        <w:t>measures have been updated from the 2005 results included in v2.05. All simulation updates discussed above have been utilized in developing UES values for these measures.</w:t>
      </w:r>
      <w:r w:rsidR="00051CE9" w:rsidRPr="00AE403A">
        <w:rPr>
          <w:rFonts w:ascii="Arial" w:hAnsi="Arial" w:cs="Arial"/>
          <w:sz w:val="20"/>
        </w:rPr>
        <w:t xml:space="preserve"> </w:t>
      </w:r>
      <w:r w:rsidR="003B6E45" w:rsidRPr="00AE403A">
        <w:rPr>
          <w:rFonts w:ascii="Arial" w:hAnsi="Arial" w:cs="Arial"/>
          <w:sz w:val="20"/>
        </w:rPr>
        <w:t>In v2.05 c</w:t>
      </w:r>
      <w:r w:rsidR="00051CE9" w:rsidRPr="00AE403A">
        <w:rPr>
          <w:rFonts w:ascii="Arial" w:hAnsi="Arial" w:cs="Arial"/>
          <w:sz w:val="20"/>
        </w:rPr>
        <w:t xml:space="preserve">eiling </w:t>
      </w:r>
      <w:proofErr w:type="spellStart"/>
      <w:r w:rsidR="00051CE9" w:rsidRPr="00AE403A">
        <w:rPr>
          <w:rFonts w:ascii="Arial" w:hAnsi="Arial" w:cs="Arial"/>
          <w:sz w:val="20"/>
        </w:rPr>
        <w:t>batt</w:t>
      </w:r>
      <w:proofErr w:type="spellEnd"/>
      <w:r w:rsidR="00051CE9" w:rsidRPr="00AE403A">
        <w:rPr>
          <w:rFonts w:ascii="Arial" w:hAnsi="Arial" w:cs="Arial"/>
          <w:sz w:val="20"/>
        </w:rPr>
        <w:t xml:space="preserve"> insulation measures </w:t>
      </w:r>
      <w:r w:rsidR="003B6E45" w:rsidRPr="00AE403A">
        <w:rPr>
          <w:rFonts w:ascii="Arial" w:hAnsi="Arial" w:cs="Arial"/>
          <w:sz w:val="20"/>
        </w:rPr>
        <w:t>were</w:t>
      </w:r>
      <w:r w:rsidR="00051CE9" w:rsidRPr="00AE403A">
        <w:rPr>
          <w:rFonts w:ascii="Arial" w:hAnsi="Arial" w:cs="Arial"/>
          <w:sz w:val="20"/>
        </w:rPr>
        <w:t xml:space="preserve"> defined with a base of no insulation and various measure levels equal to standard </w:t>
      </w:r>
      <w:proofErr w:type="spellStart"/>
      <w:r w:rsidR="00051CE9" w:rsidRPr="00AE403A">
        <w:rPr>
          <w:rFonts w:ascii="Arial" w:hAnsi="Arial" w:cs="Arial"/>
          <w:sz w:val="20"/>
        </w:rPr>
        <w:t>batt</w:t>
      </w:r>
      <w:proofErr w:type="spellEnd"/>
      <w:r w:rsidR="00051CE9" w:rsidRPr="00AE403A">
        <w:rPr>
          <w:rFonts w:ascii="Arial" w:hAnsi="Arial" w:cs="Arial"/>
          <w:sz w:val="20"/>
        </w:rPr>
        <w:t xml:space="preserve"> insulation levels such as R-11, R-19 and R-30. These measure definitions have been revised to add standard </w:t>
      </w:r>
      <w:proofErr w:type="spellStart"/>
      <w:r w:rsidR="00051CE9" w:rsidRPr="00AE403A">
        <w:rPr>
          <w:rFonts w:ascii="Arial" w:hAnsi="Arial" w:cs="Arial"/>
          <w:sz w:val="20"/>
        </w:rPr>
        <w:t>batt</w:t>
      </w:r>
      <w:proofErr w:type="spellEnd"/>
      <w:r w:rsidR="00051CE9" w:rsidRPr="00AE403A">
        <w:rPr>
          <w:rFonts w:ascii="Arial" w:hAnsi="Arial" w:cs="Arial"/>
          <w:sz w:val="20"/>
        </w:rPr>
        <w:t xml:space="preserve"> insulation levels to the typical insulation for a particular home vintage as defined in DEER.</w:t>
      </w:r>
      <w:r w:rsidR="0080520C">
        <w:rPr>
          <w:rFonts w:ascii="Arial" w:hAnsi="Arial" w:cs="Arial"/>
          <w:sz w:val="20"/>
        </w:rPr>
        <w:br/>
      </w:r>
    </w:p>
    <w:p w:rsidR="00022908" w:rsidRDefault="00594A15" w:rsidP="00594A15">
      <w:pPr>
        <w:numPr>
          <w:ilvl w:val="0"/>
          <w:numId w:val="1"/>
        </w:numPr>
        <w:spacing w:before="100" w:beforeAutospacing="1" w:after="100" w:afterAutospacing="1"/>
      </w:pPr>
      <w:bookmarkStart w:id="42" w:name="GreenHouse"/>
      <w:bookmarkStart w:id="43" w:name="_Toc308511045"/>
      <w:bookmarkEnd w:id="42"/>
      <w:r>
        <w:rPr>
          <w:rStyle w:val="Heading3Char"/>
          <w:rFonts w:cs="Arial"/>
          <w:bCs/>
          <w:szCs w:val="26"/>
        </w:rPr>
        <w:lastRenderedPageBreak/>
        <w:t>Agricultural greenhouse retrofit</w:t>
      </w:r>
      <w:bookmarkEnd w:id="43"/>
      <w:r>
        <w:rPr>
          <w:rStyle w:val="Heading3Char"/>
          <w:rFonts w:cs="Arial"/>
          <w:bCs/>
          <w:szCs w:val="26"/>
        </w:rPr>
        <w:t xml:space="preserve"> </w:t>
      </w:r>
      <w:r w:rsidRPr="00AE403A">
        <w:rPr>
          <w:rFonts w:ascii="Arial" w:hAnsi="Arial" w:cs="Arial"/>
          <w:sz w:val="20"/>
        </w:rPr>
        <w:t>measures</w:t>
      </w:r>
      <w:r w:rsidR="00051CE9" w:rsidRPr="00AE403A">
        <w:rPr>
          <w:rFonts w:ascii="Arial" w:hAnsi="Arial" w:cs="Arial"/>
          <w:sz w:val="20"/>
        </w:rPr>
        <w:t xml:space="preserve"> have been updated to reflect </w:t>
      </w:r>
      <w:r w:rsidR="00022908">
        <w:rPr>
          <w:rFonts w:ascii="Arial" w:hAnsi="Arial" w:cs="Arial"/>
          <w:sz w:val="20"/>
        </w:rPr>
        <w:t xml:space="preserve">results of impact evaluation work from 2006-2008 </w:t>
      </w:r>
      <w:r w:rsidR="00022908">
        <w:rPr>
          <w:rFonts w:cs="Tahoma"/>
          <w:szCs w:val="22"/>
        </w:rPr>
        <w:t xml:space="preserve">PG&amp;E </w:t>
      </w:r>
      <w:r w:rsidR="00022908" w:rsidRPr="00D65E18">
        <w:rPr>
          <w:rFonts w:cs="Tahoma"/>
          <w:szCs w:val="22"/>
        </w:rPr>
        <w:t>Agricultural and Food Processing Program</w:t>
      </w:r>
      <w:r w:rsidR="007933AB" w:rsidRPr="00AE403A">
        <w:rPr>
          <w:rFonts w:ascii="Arial" w:hAnsi="Arial" w:cs="Arial"/>
          <w:sz w:val="20"/>
        </w:rPr>
        <w:t>.</w:t>
      </w:r>
      <w:r w:rsidR="0080520C" w:rsidRPr="00022908">
        <w:t xml:space="preserve"> </w:t>
      </w:r>
      <w:r w:rsidR="00022908" w:rsidRPr="00022908">
        <w:t>The changes include</w:t>
      </w:r>
      <w:r w:rsidR="006D4B12">
        <w:t xml:space="preserve"> the improvements listed below.</w:t>
      </w:r>
    </w:p>
    <w:p w:rsidR="00022908" w:rsidRPr="00022908" w:rsidRDefault="00022908" w:rsidP="00022908">
      <w:pPr>
        <w:numPr>
          <w:ilvl w:val="1"/>
          <w:numId w:val="1"/>
        </w:numPr>
        <w:spacing w:before="100" w:beforeAutospacing="1" w:after="100" w:afterAutospacing="1"/>
      </w:pPr>
      <w:r>
        <w:rPr>
          <w:rFonts w:cs="Tahoma"/>
          <w:szCs w:val="22"/>
        </w:rPr>
        <w:t>The measures may be taken individually, in combination or with baselines that include one of the other measures (e.g. that addition of a thermal curtain to a greenhouse that already has IR film on its roofing material</w:t>
      </w:r>
      <w:r w:rsidR="006D4B12">
        <w:rPr>
          <w:rFonts w:cs="Tahoma"/>
          <w:szCs w:val="22"/>
        </w:rPr>
        <w:t>.</w:t>
      </w:r>
      <w:r>
        <w:rPr>
          <w:rFonts w:cs="Tahoma"/>
          <w:szCs w:val="22"/>
        </w:rPr>
        <w:t>)</w:t>
      </w:r>
    </w:p>
    <w:p w:rsidR="00022908" w:rsidRPr="00022908" w:rsidRDefault="00022908" w:rsidP="00022908">
      <w:pPr>
        <w:numPr>
          <w:ilvl w:val="1"/>
          <w:numId w:val="1"/>
        </w:numPr>
        <w:spacing w:before="100" w:beforeAutospacing="1" w:after="100" w:afterAutospacing="1"/>
      </w:pPr>
      <w:r>
        <w:rPr>
          <w:rFonts w:cs="Tahoma"/>
          <w:szCs w:val="22"/>
        </w:rPr>
        <w:t>The EUS values include two heating system types, a standard over-head gas-fired unit heater and a floor level radiant heating system (typically steam or hot water circulated through piping within the greenhouse</w:t>
      </w:r>
      <w:r w:rsidR="006D4B12">
        <w:rPr>
          <w:rFonts w:cs="Tahoma"/>
          <w:szCs w:val="22"/>
        </w:rPr>
        <w:t>.</w:t>
      </w:r>
      <w:r>
        <w:rPr>
          <w:rFonts w:cs="Tahoma"/>
          <w:szCs w:val="22"/>
        </w:rPr>
        <w:t>)</w:t>
      </w:r>
    </w:p>
    <w:p w:rsidR="006D4B12" w:rsidRPr="006D4B12" w:rsidRDefault="00022908" w:rsidP="00022908">
      <w:pPr>
        <w:numPr>
          <w:ilvl w:val="1"/>
          <w:numId w:val="1"/>
        </w:numPr>
        <w:spacing w:before="100" w:beforeAutospacing="1" w:after="100" w:afterAutospacing="1"/>
      </w:pPr>
      <w:r>
        <w:rPr>
          <w:rFonts w:cs="Tahoma"/>
          <w:szCs w:val="22"/>
        </w:rPr>
        <w:t xml:space="preserve">Revised greenhouse simulation models for greenhouses with overhead heating systems developed in 2008 </w:t>
      </w:r>
      <w:r w:rsidR="006D4B12">
        <w:rPr>
          <w:rFonts w:cs="Tahoma"/>
          <w:szCs w:val="22"/>
        </w:rPr>
        <w:t xml:space="preserve">for and </w:t>
      </w:r>
      <w:r>
        <w:rPr>
          <w:rFonts w:cs="Tahoma"/>
          <w:szCs w:val="22"/>
        </w:rPr>
        <w:t xml:space="preserve">confirmed by the </w:t>
      </w:r>
      <w:r w:rsidR="006D4B12">
        <w:rPr>
          <w:rFonts w:cs="Tahoma"/>
          <w:szCs w:val="22"/>
        </w:rPr>
        <w:t>20</w:t>
      </w:r>
      <w:r>
        <w:rPr>
          <w:rFonts w:cs="Tahoma"/>
          <w:szCs w:val="22"/>
        </w:rPr>
        <w:t>06-</w:t>
      </w:r>
      <w:r w:rsidR="006D4B12">
        <w:rPr>
          <w:rFonts w:cs="Tahoma"/>
          <w:szCs w:val="22"/>
        </w:rPr>
        <w:t>20</w:t>
      </w:r>
      <w:r>
        <w:rPr>
          <w:rFonts w:cs="Tahoma"/>
          <w:szCs w:val="22"/>
        </w:rPr>
        <w:t xml:space="preserve">08 PG&amp;E </w:t>
      </w:r>
      <w:r w:rsidRPr="00D65E18">
        <w:rPr>
          <w:rFonts w:cs="Tahoma"/>
          <w:szCs w:val="22"/>
        </w:rPr>
        <w:t>Agricultural and Food Processing Program</w:t>
      </w:r>
      <w:r w:rsidR="006D4B12">
        <w:rPr>
          <w:rFonts w:cs="Tahoma"/>
          <w:szCs w:val="22"/>
        </w:rPr>
        <w:t xml:space="preserve"> impact evaluation.  These model changes</w:t>
      </w:r>
      <w:r>
        <w:rPr>
          <w:rFonts w:cs="Tahoma"/>
          <w:szCs w:val="22"/>
        </w:rPr>
        <w:t xml:space="preserve"> addressed major issues that affected energy savings associated with the various measures - predominantly prior incorrect temperature stratification </w:t>
      </w:r>
      <w:r w:rsidR="006D4B12">
        <w:rPr>
          <w:rFonts w:cs="Tahoma"/>
          <w:szCs w:val="22"/>
        </w:rPr>
        <w:t>assumptions</w:t>
      </w:r>
      <w:r>
        <w:rPr>
          <w:rFonts w:cs="Tahoma"/>
          <w:szCs w:val="22"/>
        </w:rPr>
        <w:t xml:space="preserve">.  </w:t>
      </w:r>
    </w:p>
    <w:p w:rsidR="006C3507" w:rsidRPr="006C3507" w:rsidRDefault="006D4B12" w:rsidP="00022908">
      <w:pPr>
        <w:numPr>
          <w:ilvl w:val="1"/>
          <w:numId w:val="1"/>
        </w:numPr>
        <w:spacing w:before="100" w:beforeAutospacing="1" w:after="100" w:afterAutospacing="1"/>
      </w:pPr>
      <w:r>
        <w:rPr>
          <w:rFonts w:cs="Tahoma"/>
          <w:szCs w:val="22"/>
        </w:rPr>
        <w:t xml:space="preserve">The 2006-2008 impact evaluation found that radiant heating systems will dramatically reduce the savings due to the elimination of temperature stratification within the greenhouse.  Stratification increased energy use as temperatures above the greenhouse are higher, resulting in a larger heating load that would occur if the temperature were uniform.  The 2006-2008 report notes </w:t>
      </w:r>
      <w:proofErr w:type="gramStart"/>
      <w:r>
        <w:rPr>
          <w:rFonts w:cs="Tahoma"/>
          <w:szCs w:val="22"/>
        </w:rPr>
        <w:t>this a</w:t>
      </w:r>
      <w:proofErr w:type="gramEnd"/>
      <w:r>
        <w:rPr>
          <w:rFonts w:cs="Tahoma"/>
          <w:szCs w:val="22"/>
        </w:rPr>
        <w:t xml:space="preserve"> major contributing factor to low realization rates (39% for IR film measures and 62% for thermal curtains). The measure updates reflect the addition of this heating system type which was identified as the primary type of heating system utilized in California greenhouses.</w:t>
      </w:r>
    </w:p>
    <w:p w:rsidR="0080520C" w:rsidRPr="0080520C" w:rsidRDefault="006C3507" w:rsidP="00022908">
      <w:pPr>
        <w:numPr>
          <w:ilvl w:val="1"/>
          <w:numId w:val="1"/>
        </w:numPr>
        <w:spacing w:before="100" w:beforeAutospacing="1" w:after="100" w:afterAutospacing="1"/>
        <w:rPr>
          <w:rStyle w:val="Heading3Char"/>
          <w:rFonts w:ascii="Times New Roman" w:hAnsi="Times New Roman"/>
          <w:b w:val="0"/>
          <w:sz w:val="24"/>
        </w:rPr>
      </w:pPr>
      <w:r w:rsidRPr="006C3507">
        <w:t>IR films attached to walls and single-layer roofing materials</w:t>
      </w:r>
      <w:r>
        <w:t xml:space="preserve"> are included in the database showing zero savings.</w:t>
      </w:r>
      <w:r w:rsidR="0080520C" w:rsidRPr="00022908">
        <w:br/>
      </w:r>
    </w:p>
    <w:p w:rsidR="00594A15" w:rsidRPr="0080520C" w:rsidRDefault="0080520C" w:rsidP="00594A15">
      <w:pPr>
        <w:numPr>
          <w:ilvl w:val="0"/>
          <w:numId w:val="1"/>
        </w:numPr>
        <w:spacing w:before="100" w:beforeAutospacing="1" w:after="100" w:afterAutospacing="1"/>
      </w:pPr>
      <w:bookmarkStart w:id="44" w:name="_Toc308511046"/>
      <w:bookmarkStart w:id="45" w:name="Retired"/>
      <w:bookmarkStart w:id="46" w:name="_GoBack"/>
      <w:bookmarkEnd w:id="45"/>
      <w:bookmarkEnd w:id="46"/>
      <w:r>
        <w:rPr>
          <w:rStyle w:val="Heading3Char"/>
          <w:rFonts w:cs="Arial"/>
          <w:bCs/>
          <w:szCs w:val="26"/>
        </w:rPr>
        <w:t>Select non-updated results from DEER2005 retired</w:t>
      </w:r>
      <w:bookmarkEnd w:id="44"/>
      <w:proofErr w:type="gramStart"/>
      <w:r w:rsidRPr="0080520C">
        <w:t>:</w:t>
      </w:r>
      <w:proofErr w:type="gramEnd"/>
      <w:r>
        <w:br/>
      </w:r>
      <w:r w:rsidR="00A82865">
        <w:t xml:space="preserve">Non-updated measures from the DEER2005 database that were included in the DEER2008 database were evaluated for relevancy in the current planning cycle. </w:t>
      </w:r>
      <w:proofErr w:type="gramStart"/>
      <w:r w:rsidR="00B62411">
        <w:t>Measure that were</w:t>
      </w:r>
      <w:proofErr w:type="gramEnd"/>
      <w:r w:rsidR="00B62411">
        <w:t xml:space="preserve"> updated in version 3.02 or 4.00 were dropped as were measures that are either no longer relevant or covered by updated IOU workpapers.  See </w:t>
      </w:r>
      <w:r w:rsidR="006C3507">
        <w:t xml:space="preserve">the appendix </w:t>
      </w:r>
      <w:r w:rsidR="00B62411">
        <w:t>for the status of all DEER 2005 measures include in the previous version.</w:t>
      </w:r>
    </w:p>
    <w:p w:rsidR="004927F4" w:rsidRDefault="004927F4">
      <w:pPr>
        <w:pStyle w:val="Heading2"/>
      </w:pPr>
      <w:bookmarkStart w:id="47" w:name="_Toc308511047"/>
      <w:r>
        <w:t>Changes to the DEER database Structure</w:t>
      </w:r>
      <w:bookmarkEnd w:id="47"/>
    </w:p>
    <w:p w:rsidR="00AD4901" w:rsidRDefault="00AD4901">
      <w:r>
        <w:t xml:space="preserve">The format for the DEER2011 Measure and Energy Impact tables follow the new </w:t>
      </w:r>
      <w:proofErr w:type="spellStart"/>
      <w:r>
        <w:t>SPTdb</w:t>
      </w:r>
      <w:proofErr w:type="spellEnd"/>
      <w:r>
        <w:t xml:space="preserve"> format developed by ED and presented in these documents</w:t>
      </w:r>
      <w:r w:rsidR="00AE403A">
        <w:t xml:space="preserve"> available on the DEEResources.com web site</w:t>
      </w:r>
      <w:r>
        <w:t xml:space="preserve">: </w:t>
      </w:r>
    </w:p>
    <w:p w:rsidR="00AD4901" w:rsidRDefault="00AD4901"/>
    <w:p w:rsidR="00AD4901" w:rsidRDefault="00AD4901" w:rsidP="00AE403A">
      <w:pPr>
        <w:numPr>
          <w:ilvl w:val="0"/>
          <w:numId w:val="7"/>
        </w:numPr>
      </w:pPr>
      <w:r w:rsidRPr="00AD4901">
        <w:t xml:space="preserve">Updated </w:t>
      </w:r>
      <w:proofErr w:type="spellStart"/>
      <w:r w:rsidRPr="00AD4901">
        <w:t>SPTdb</w:t>
      </w:r>
      <w:proofErr w:type="spellEnd"/>
      <w:r w:rsidRPr="00AD4901">
        <w:t xml:space="preserve"> Tables and Reporting process - 1Sept2011</w:t>
      </w:r>
      <w:r>
        <w:t>.pdf</w:t>
      </w:r>
    </w:p>
    <w:p w:rsidR="00AD4901" w:rsidRDefault="00AD4901" w:rsidP="00AE403A">
      <w:pPr>
        <w:numPr>
          <w:ilvl w:val="0"/>
          <w:numId w:val="7"/>
        </w:numPr>
      </w:pPr>
      <w:r>
        <w:t>T</w:t>
      </w:r>
      <w:r w:rsidRPr="00AD4901">
        <w:t>he new SPT database - 2Sept2011.pptx</w:t>
      </w:r>
    </w:p>
    <w:p w:rsidR="00AD4901" w:rsidRDefault="00AD4901" w:rsidP="00AE403A">
      <w:pPr>
        <w:numPr>
          <w:ilvl w:val="0"/>
          <w:numId w:val="7"/>
        </w:numPr>
      </w:pPr>
      <w:r w:rsidRPr="00AD4901">
        <w:t>SPT Data Format with Examples -version 0.97</w:t>
      </w:r>
      <w:r>
        <w:t>.xls</w:t>
      </w:r>
    </w:p>
    <w:p w:rsidR="00AD4901" w:rsidRDefault="00AD4901"/>
    <w:p w:rsidR="00AD4901" w:rsidRDefault="00AD4901">
      <w:r>
        <w:t>The new format makes extensive use of a standardized set of classification fields to identify measures and technologies</w:t>
      </w:r>
      <w:r w:rsidR="00C3125E">
        <w:t xml:space="preserve"> and is part of the common format that will be used for all ED measure information</w:t>
      </w:r>
      <w:r w:rsidR="00190F4E">
        <w:t xml:space="preserve"> reporting</w:t>
      </w:r>
      <w:r w:rsidR="00C3125E">
        <w:t>.</w:t>
      </w:r>
    </w:p>
    <w:p w:rsidR="00AD4901" w:rsidRDefault="00AD4901"/>
    <w:p w:rsidR="00AE403A" w:rsidRDefault="00AE403A">
      <w:r>
        <w:t xml:space="preserve">All DEER UES results that are part of the DEER2011 database are included in the new database.  The </w:t>
      </w:r>
      <w:proofErr w:type="gramStart"/>
      <w:r>
        <w:t>source for all UES values are</w:t>
      </w:r>
      <w:proofErr w:type="gramEnd"/>
      <w:r>
        <w:t xml:space="preserve"> identified as one of the following:</w:t>
      </w:r>
      <w:r>
        <w:br/>
      </w:r>
    </w:p>
    <w:p w:rsidR="00AE403A" w:rsidRDefault="00AE403A" w:rsidP="00AE403A">
      <w:pPr>
        <w:numPr>
          <w:ilvl w:val="0"/>
          <w:numId w:val="8"/>
        </w:numPr>
      </w:pPr>
      <w:r w:rsidRPr="00AE403A">
        <w:rPr>
          <w:b/>
        </w:rPr>
        <w:t>DEER2005 v2.0</w:t>
      </w:r>
      <w:r w:rsidR="0080520C">
        <w:rPr>
          <w:b/>
        </w:rPr>
        <w:t>1</w:t>
      </w:r>
      <w:r w:rsidR="0080520C">
        <w:rPr>
          <w:b/>
        </w:rPr>
        <w:br/>
      </w:r>
      <w:r w:rsidR="0080520C">
        <w:t>N</w:t>
      </w:r>
      <w:r>
        <w:t xml:space="preserve">on-updated results from the DEER2005 database </w:t>
      </w:r>
      <w:proofErr w:type="gramStart"/>
      <w:r>
        <w:t>that are</w:t>
      </w:r>
      <w:proofErr w:type="gramEnd"/>
      <w:r>
        <w:t xml:space="preserve"> still relevant</w:t>
      </w:r>
      <w:r w:rsidR="0080520C">
        <w:t>.</w:t>
      </w:r>
    </w:p>
    <w:p w:rsidR="00AE403A" w:rsidRDefault="00AE403A" w:rsidP="00AE403A">
      <w:pPr>
        <w:numPr>
          <w:ilvl w:val="0"/>
          <w:numId w:val="8"/>
        </w:numPr>
      </w:pPr>
      <w:r w:rsidRPr="0080520C">
        <w:rPr>
          <w:b/>
        </w:rPr>
        <w:t>DEER2008 v2.05</w:t>
      </w:r>
      <w:r w:rsidR="0080520C" w:rsidRPr="0080520C">
        <w:rPr>
          <w:b/>
        </w:rPr>
        <w:br/>
      </w:r>
      <w:r w:rsidR="0080520C">
        <w:t>Re</w:t>
      </w:r>
      <w:r>
        <w:t>sults from the official release of the DEER2008 database</w:t>
      </w:r>
      <w:r w:rsidR="0080520C">
        <w:t>.</w:t>
      </w:r>
    </w:p>
    <w:p w:rsidR="00AE403A" w:rsidRDefault="00AE403A" w:rsidP="00AE403A">
      <w:pPr>
        <w:numPr>
          <w:ilvl w:val="0"/>
          <w:numId w:val="8"/>
        </w:numPr>
      </w:pPr>
      <w:r w:rsidRPr="0080520C">
        <w:rPr>
          <w:b/>
        </w:rPr>
        <w:t>DEER2008 v3.02</w:t>
      </w:r>
      <w:r w:rsidR="0080520C">
        <w:br/>
        <w:t>R</w:t>
      </w:r>
      <w:r>
        <w:t xml:space="preserve">esults from the updated </w:t>
      </w:r>
      <w:r w:rsidR="0080520C">
        <w:t xml:space="preserve">DEER2008 database that </w:t>
      </w:r>
      <w:r w:rsidR="00432719">
        <w:t>were referenced</w:t>
      </w:r>
      <w:r w:rsidR="0080520C">
        <w:t xml:space="preserve"> as version 3.02. Includes HVAC interactive effects results that weight indoor lighting measures across applicable HVAC system types. </w:t>
      </w:r>
    </w:p>
    <w:p w:rsidR="00AE403A" w:rsidRDefault="00AE403A" w:rsidP="00AE403A">
      <w:pPr>
        <w:numPr>
          <w:ilvl w:val="0"/>
          <w:numId w:val="8"/>
        </w:numPr>
      </w:pPr>
      <w:r w:rsidRPr="0080520C">
        <w:rPr>
          <w:b/>
        </w:rPr>
        <w:t>DEER2011 v4.00</w:t>
      </w:r>
      <w:r w:rsidR="0080520C" w:rsidRPr="0080520C">
        <w:rPr>
          <w:b/>
        </w:rPr>
        <w:br/>
      </w:r>
      <w:proofErr w:type="gramStart"/>
      <w:r w:rsidR="0080520C">
        <w:t>New</w:t>
      </w:r>
      <w:proofErr w:type="gramEnd"/>
      <w:r w:rsidR="0080520C">
        <w:t xml:space="preserve"> results for this release. </w:t>
      </w:r>
    </w:p>
    <w:p w:rsidR="00AE403A" w:rsidRDefault="00AE403A"/>
    <w:p w:rsidR="00190F4E" w:rsidRDefault="00BB7FD4" w:rsidP="00BB7FD4">
      <w:r>
        <w:t xml:space="preserve">READI (“Remote Ex-Ante Database Interface”) is a </w:t>
      </w:r>
      <w:r w:rsidR="00C3125E">
        <w:t xml:space="preserve">database tool developed </w:t>
      </w:r>
      <w:r>
        <w:t>to</w:t>
      </w:r>
      <w:r w:rsidR="00C3125E">
        <w:t xml:space="preserve"> give users access to all of the DEER2011 data via a remote connection </w:t>
      </w:r>
      <w:r>
        <w:t>t</w:t>
      </w:r>
      <w:r w:rsidR="00C3125E">
        <w:t xml:space="preserve">o the </w:t>
      </w:r>
      <w:r>
        <w:t xml:space="preserve">ED </w:t>
      </w:r>
      <w:r w:rsidR="00C3125E">
        <w:t>database.  An internet connection and access through ports 22 or 5432 is required to use the program.</w:t>
      </w:r>
      <w:r w:rsidR="00190F4E">
        <w:t xml:space="preserve">  The latest version of the program can be found </w:t>
      </w:r>
      <w:r>
        <w:t>on the DEEResources.com web site.</w:t>
      </w:r>
    </w:p>
    <w:p w:rsidR="00C3125E" w:rsidRDefault="00C3125E"/>
    <w:p w:rsidR="004927F4" w:rsidRDefault="004927F4">
      <w:pPr>
        <w:pStyle w:val="Heading2"/>
      </w:pPr>
      <w:bookmarkStart w:id="48" w:name="_Toc308511048"/>
      <w:r>
        <w:t>Changes to the DEER Results</w:t>
      </w:r>
      <w:bookmarkEnd w:id="48"/>
    </w:p>
    <w:p w:rsidR="004927F4" w:rsidRDefault="004927F4">
      <w:pPr>
        <w:spacing w:before="100" w:beforeAutospacing="1" w:after="100" w:afterAutospacing="1"/>
      </w:pPr>
      <w:r>
        <w:t xml:space="preserve">The accumulation of changes listed in this document has caused a large portion of the DEER energy impact results to change at least slightly.  Some updates have caused specific results to change significantly, such as the large office lighting profile fix.  </w:t>
      </w:r>
    </w:p>
    <w:p w:rsidR="004927F4" w:rsidRDefault="004927F4">
      <w:pPr>
        <w:spacing w:before="100" w:beforeAutospacing="1" w:after="100" w:afterAutospacing="1"/>
      </w:pPr>
      <w:r>
        <w:t xml:space="preserve">Other changes, such as the various HVAC control and sizing issues listed above, have had only a small effect on the electricity energy and demand results, but have a profound effect on the secondary natural gas impact.  In almost all cases, the heating energy “take back” associated with commercial lighting measures has decreased dramatically (on the order of </w:t>
      </w:r>
      <w:r w:rsidR="007F759D">
        <w:t>25</w:t>
      </w:r>
      <w:r>
        <w:t xml:space="preserve"> – </w:t>
      </w:r>
      <w:r w:rsidR="007F759D">
        <w:t>60</w:t>
      </w:r>
      <w:r>
        <w:t xml:space="preserve">%).  </w:t>
      </w:r>
    </w:p>
    <w:p w:rsidR="00892D2B" w:rsidRDefault="00367EA9">
      <w:pPr>
        <w:spacing w:before="100" w:beforeAutospacing="1" w:after="100" w:afterAutospacing="1"/>
      </w:pPr>
      <w:r>
        <w:fldChar w:fldCharType="begin"/>
      </w:r>
      <w:r w:rsidR="006106F6">
        <w:instrText xml:space="preserve"> REF _Ref252266432 \h </w:instrText>
      </w:r>
      <w:r>
        <w:fldChar w:fldCharType="separate"/>
      </w:r>
      <w:r w:rsidR="008125B4" w:rsidRPr="00C76919">
        <w:t xml:space="preserve">Figure </w:t>
      </w:r>
      <w:r w:rsidR="008125B4">
        <w:rPr>
          <w:noProof/>
        </w:rPr>
        <w:t>1</w:t>
      </w:r>
      <w:r>
        <w:fldChar w:fldCharType="end"/>
      </w:r>
      <w:r w:rsidR="006106F6">
        <w:t xml:space="preserve"> shows the large decrease in the negative gas impacts for a lighting measure in the </w:t>
      </w:r>
      <w:r w:rsidR="007F759D">
        <w:t xml:space="preserve">multi-story retail </w:t>
      </w:r>
      <w:r w:rsidR="006106F6">
        <w:t>building prototype.  This result is typical of prototypes with central plant HVAC systems and is largely due to changes in the control mechanism of the oldest vintage HVAC system and the fix to the boiler sizing.</w:t>
      </w:r>
    </w:p>
    <w:p w:rsidR="006106F6" w:rsidRDefault="00367EA9">
      <w:pPr>
        <w:spacing w:before="100" w:beforeAutospacing="1" w:after="100" w:afterAutospacing="1"/>
      </w:pPr>
      <w:r>
        <w:fldChar w:fldCharType="begin"/>
      </w:r>
      <w:r w:rsidR="006106F6">
        <w:instrText xml:space="preserve"> REF _Ref252266716 \h </w:instrText>
      </w:r>
      <w:r>
        <w:fldChar w:fldCharType="separate"/>
      </w:r>
      <w:r w:rsidR="008125B4" w:rsidRPr="00C76919">
        <w:rPr>
          <w:sz w:val="22"/>
          <w:szCs w:val="22"/>
        </w:rPr>
        <w:t xml:space="preserve">Figure </w:t>
      </w:r>
      <w:r w:rsidR="008125B4">
        <w:rPr>
          <w:noProof/>
          <w:sz w:val="22"/>
          <w:szCs w:val="22"/>
        </w:rPr>
        <w:t>2</w:t>
      </w:r>
      <w:r>
        <w:fldChar w:fldCharType="end"/>
      </w:r>
      <w:r w:rsidR="006106F6">
        <w:t xml:space="preserve"> shows th</w:t>
      </w:r>
      <w:r w:rsidR="00C76919">
        <w:t>e</w:t>
      </w:r>
      <w:r w:rsidR="006106F6">
        <w:t xml:space="preserve"> same type of results for the small office building prototype, a building with packaged HVAC equipment.  In this case, there is very little difference in the </w:t>
      </w:r>
      <w:r w:rsidR="006106F6">
        <w:lastRenderedPageBreak/>
        <w:t>negative gas impacts since the two changes mentioned above do not apply to packaged HVAC equipment.</w:t>
      </w:r>
    </w:p>
    <w:p w:rsidR="00892D2B" w:rsidRPr="00C76919" w:rsidRDefault="00917155" w:rsidP="00786990">
      <w:pPr>
        <w:keepNext/>
      </w:pPr>
      <w:r>
        <w:rPr>
          <w:noProof/>
        </w:rPr>
        <w:drawing>
          <wp:inline distT="0" distB="0" distL="0" distR="0">
            <wp:extent cx="5447030" cy="3396615"/>
            <wp:effectExtent l="1905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5447030" cy="3396615"/>
                    </a:xfrm>
                    <a:prstGeom prst="rect">
                      <a:avLst/>
                    </a:prstGeom>
                    <a:noFill/>
                    <a:ln w="9525">
                      <a:noFill/>
                      <a:miter lim="800000"/>
                      <a:headEnd/>
                      <a:tailEnd/>
                    </a:ln>
                  </pic:spPr>
                </pic:pic>
              </a:graphicData>
            </a:graphic>
          </wp:inline>
        </w:drawing>
      </w:r>
    </w:p>
    <w:p w:rsidR="00BF4A2A" w:rsidRPr="00C76919" w:rsidRDefault="00892D2B" w:rsidP="00892D2B">
      <w:pPr>
        <w:pStyle w:val="Caption"/>
        <w:rPr>
          <w:b w:val="0"/>
          <w:sz w:val="24"/>
          <w:szCs w:val="24"/>
        </w:rPr>
      </w:pPr>
      <w:bookmarkStart w:id="49" w:name="_Ref252266432"/>
      <w:proofErr w:type="gramStart"/>
      <w:r w:rsidRPr="00C76919">
        <w:rPr>
          <w:sz w:val="24"/>
          <w:szCs w:val="24"/>
        </w:rPr>
        <w:t xml:space="preserve">Figure </w:t>
      </w:r>
      <w:r w:rsidR="00367EA9" w:rsidRPr="00C76919">
        <w:rPr>
          <w:sz w:val="24"/>
          <w:szCs w:val="24"/>
        </w:rPr>
        <w:fldChar w:fldCharType="begin"/>
      </w:r>
      <w:r w:rsidRPr="00C76919">
        <w:rPr>
          <w:sz w:val="24"/>
          <w:szCs w:val="24"/>
        </w:rPr>
        <w:instrText xml:space="preserve"> SEQ Figure \* ARABIC </w:instrText>
      </w:r>
      <w:r w:rsidR="00367EA9" w:rsidRPr="00C76919">
        <w:rPr>
          <w:sz w:val="24"/>
          <w:szCs w:val="24"/>
        </w:rPr>
        <w:fldChar w:fldCharType="separate"/>
      </w:r>
      <w:r w:rsidR="00B37078">
        <w:rPr>
          <w:noProof/>
          <w:sz w:val="24"/>
          <w:szCs w:val="24"/>
        </w:rPr>
        <w:t>1</w:t>
      </w:r>
      <w:r w:rsidR="00367EA9" w:rsidRPr="00C76919">
        <w:rPr>
          <w:sz w:val="24"/>
          <w:szCs w:val="24"/>
        </w:rPr>
        <w:fldChar w:fldCharType="end"/>
      </w:r>
      <w:bookmarkEnd w:id="49"/>
      <w:r w:rsidRPr="00C76919">
        <w:rPr>
          <w:sz w:val="24"/>
          <w:szCs w:val="24"/>
        </w:rPr>
        <w:t>.</w:t>
      </w:r>
      <w:proofErr w:type="gramEnd"/>
      <w:r w:rsidRPr="00C76919">
        <w:rPr>
          <w:sz w:val="24"/>
          <w:szCs w:val="24"/>
        </w:rPr>
        <w:t xml:space="preserve">  </w:t>
      </w:r>
      <w:r w:rsidRPr="00C76919">
        <w:rPr>
          <w:b w:val="0"/>
          <w:sz w:val="24"/>
          <w:szCs w:val="24"/>
        </w:rPr>
        <w:t xml:space="preserve">Showing a large decrease in the gas heating “take back” associated with a lighting measure in the </w:t>
      </w:r>
      <w:r w:rsidR="00C76919" w:rsidRPr="00C76919">
        <w:rPr>
          <w:sz w:val="24"/>
          <w:szCs w:val="24"/>
        </w:rPr>
        <w:t>Multi-Story Retail, Existing Vintage</w:t>
      </w:r>
      <w:r w:rsidRPr="00C76919">
        <w:rPr>
          <w:b w:val="0"/>
          <w:sz w:val="24"/>
          <w:szCs w:val="24"/>
        </w:rPr>
        <w:t xml:space="preserve"> prototype</w:t>
      </w:r>
    </w:p>
    <w:p w:rsidR="00892D2B" w:rsidRDefault="00892D2B" w:rsidP="00892D2B"/>
    <w:p w:rsidR="00771D52" w:rsidRPr="00892D2B" w:rsidRDefault="00771D52" w:rsidP="00892D2B"/>
    <w:p w:rsidR="00892D2B" w:rsidRPr="00C76919" w:rsidRDefault="00917155" w:rsidP="00786990">
      <w:pPr>
        <w:keepNext/>
      </w:pPr>
      <w:r>
        <w:rPr>
          <w:noProof/>
        </w:rPr>
        <w:lastRenderedPageBreak/>
        <w:drawing>
          <wp:inline distT="0" distB="0" distL="0" distR="0">
            <wp:extent cx="5467458" cy="3418559"/>
            <wp:effectExtent l="0" t="0" r="5607" b="4091"/>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F4A2A" w:rsidRPr="00C76919" w:rsidRDefault="00892D2B" w:rsidP="00892D2B">
      <w:pPr>
        <w:pStyle w:val="Caption"/>
        <w:rPr>
          <w:b w:val="0"/>
          <w:sz w:val="22"/>
          <w:szCs w:val="22"/>
        </w:rPr>
      </w:pPr>
      <w:bookmarkStart w:id="50" w:name="_Ref252266716"/>
      <w:proofErr w:type="gramStart"/>
      <w:r w:rsidRPr="00C76919">
        <w:rPr>
          <w:sz w:val="22"/>
          <w:szCs w:val="22"/>
        </w:rPr>
        <w:t xml:space="preserve">Figure </w:t>
      </w:r>
      <w:r w:rsidR="00367EA9" w:rsidRPr="00C76919">
        <w:rPr>
          <w:sz w:val="22"/>
          <w:szCs w:val="22"/>
        </w:rPr>
        <w:fldChar w:fldCharType="begin"/>
      </w:r>
      <w:r w:rsidRPr="00C76919">
        <w:rPr>
          <w:sz w:val="22"/>
          <w:szCs w:val="22"/>
        </w:rPr>
        <w:instrText xml:space="preserve"> SEQ Figure \* ARABIC </w:instrText>
      </w:r>
      <w:r w:rsidR="00367EA9" w:rsidRPr="00C76919">
        <w:rPr>
          <w:sz w:val="22"/>
          <w:szCs w:val="22"/>
        </w:rPr>
        <w:fldChar w:fldCharType="separate"/>
      </w:r>
      <w:r w:rsidR="00B37078">
        <w:rPr>
          <w:noProof/>
          <w:sz w:val="22"/>
          <w:szCs w:val="22"/>
        </w:rPr>
        <w:t>2</w:t>
      </w:r>
      <w:r w:rsidR="00367EA9" w:rsidRPr="00C76919">
        <w:rPr>
          <w:sz w:val="22"/>
          <w:szCs w:val="22"/>
        </w:rPr>
        <w:fldChar w:fldCharType="end"/>
      </w:r>
      <w:bookmarkEnd w:id="50"/>
      <w:r w:rsidRPr="00C76919">
        <w:rPr>
          <w:sz w:val="22"/>
          <w:szCs w:val="22"/>
        </w:rPr>
        <w:t>.</w:t>
      </w:r>
      <w:proofErr w:type="gramEnd"/>
      <w:r w:rsidRPr="00C76919">
        <w:rPr>
          <w:sz w:val="22"/>
          <w:szCs w:val="22"/>
        </w:rPr>
        <w:t xml:space="preserve">  </w:t>
      </w:r>
      <w:r w:rsidRPr="00C76919">
        <w:rPr>
          <w:b w:val="0"/>
          <w:sz w:val="22"/>
          <w:szCs w:val="22"/>
        </w:rPr>
        <w:t xml:space="preserve">Showing a small change in gas heating “take back” associated with a lighting measure in the </w:t>
      </w:r>
      <w:smartTag w:uri="urn:schemas-microsoft-com:office:smarttags" w:element="PlaceName">
        <w:smartTag w:uri="urn:schemas-microsoft-com:office:smarttags" w:element="place">
          <w:r w:rsidRPr="00C76919">
            <w:rPr>
              <w:sz w:val="22"/>
              <w:szCs w:val="22"/>
            </w:rPr>
            <w:t>Small</w:t>
          </w:r>
        </w:smartTag>
        <w:r w:rsidRPr="00C76919">
          <w:rPr>
            <w:sz w:val="22"/>
            <w:szCs w:val="22"/>
          </w:rPr>
          <w:t xml:space="preserve"> </w:t>
        </w:r>
        <w:smartTag w:uri="urn:schemas-microsoft-com:office:smarttags" w:element="PlaceName">
          <w:r w:rsidRPr="00C76919">
            <w:rPr>
              <w:sz w:val="22"/>
              <w:szCs w:val="22"/>
            </w:rPr>
            <w:t>Office</w:t>
          </w:r>
        </w:smartTag>
        <w:r w:rsidRPr="00C76919">
          <w:rPr>
            <w:sz w:val="22"/>
            <w:szCs w:val="22"/>
          </w:rPr>
          <w:t xml:space="preserve"> </w:t>
        </w:r>
        <w:smartTag w:uri="urn:schemas-microsoft-com:office:smarttags" w:element="PlaceType">
          <w:r w:rsidRPr="00C76919">
            <w:rPr>
              <w:sz w:val="22"/>
              <w:szCs w:val="22"/>
            </w:rPr>
            <w:t>Building</w:t>
          </w:r>
        </w:smartTag>
      </w:smartTag>
      <w:r w:rsidR="00C76919" w:rsidRPr="00C76919">
        <w:rPr>
          <w:sz w:val="22"/>
          <w:szCs w:val="22"/>
        </w:rPr>
        <w:t>, Existing Vintage</w:t>
      </w:r>
      <w:r w:rsidRPr="00C76919">
        <w:rPr>
          <w:b w:val="0"/>
          <w:sz w:val="22"/>
          <w:szCs w:val="22"/>
        </w:rPr>
        <w:t xml:space="preserve"> prototype</w:t>
      </w:r>
    </w:p>
    <w:p w:rsidR="004927F4" w:rsidRDefault="00367EA9">
      <w:pPr>
        <w:spacing w:before="100" w:beforeAutospacing="1" w:after="100" w:afterAutospacing="1"/>
      </w:pPr>
      <w:r>
        <w:fldChar w:fldCharType="begin"/>
      </w:r>
      <w:r w:rsidR="008D4032">
        <w:instrText xml:space="preserve"> REF _Ref252361855 \h </w:instrText>
      </w:r>
      <w:r>
        <w:fldChar w:fldCharType="separate"/>
      </w:r>
      <w:r w:rsidR="008125B4" w:rsidRPr="008D4032">
        <w:t xml:space="preserve">Figure </w:t>
      </w:r>
      <w:r w:rsidR="008125B4">
        <w:rPr>
          <w:noProof/>
        </w:rPr>
        <w:t>3</w:t>
      </w:r>
      <w:r>
        <w:fldChar w:fldCharType="end"/>
      </w:r>
      <w:r w:rsidR="008D4032">
        <w:t xml:space="preserve"> shows the energy and demand impacts for the recent vintage large office building prototype.  The change in demand savings in climate zones CZ01, CZ03 and CZ05 is due to the design chiller size decreasing by approximately 20% in these climate zones.  The change in chiller design size is a direct results of the economizer set point issue discussed above.</w:t>
      </w:r>
      <w:r w:rsidR="004927F4">
        <w:t xml:space="preserve"> </w:t>
      </w:r>
    </w:p>
    <w:p w:rsidR="00C76919" w:rsidRDefault="00917155" w:rsidP="00786990">
      <w:pPr>
        <w:keepNext/>
      </w:pPr>
      <w:r>
        <w:rPr>
          <w:noProof/>
        </w:rPr>
        <w:lastRenderedPageBreak/>
        <w:drawing>
          <wp:inline distT="0" distB="0" distL="0" distR="0">
            <wp:extent cx="5467458" cy="3423973"/>
            <wp:effectExtent l="0" t="0" r="5607" b="5027"/>
            <wp:docPr id="1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E3958" w:rsidRPr="008D4032" w:rsidRDefault="00C76919" w:rsidP="00C76919">
      <w:pPr>
        <w:pStyle w:val="Caption"/>
        <w:rPr>
          <w:b w:val="0"/>
          <w:sz w:val="24"/>
          <w:szCs w:val="24"/>
        </w:rPr>
      </w:pPr>
      <w:bookmarkStart w:id="51" w:name="_Ref252361855"/>
      <w:r w:rsidRPr="008D4032">
        <w:rPr>
          <w:sz w:val="24"/>
          <w:szCs w:val="24"/>
        </w:rPr>
        <w:t xml:space="preserve">Figure </w:t>
      </w:r>
      <w:r w:rsidR="00367EA9" w:rsidRPr="008D4032">
        <w:rPr>
          <w:sz w:val="24"/>
          <w:szCs w:val="24"/>
        </w:rPr>
        <w:fldChar w:fldCharType="begin"/>
      </w:r>
      <w:r w:rsidRPr="008D4032">
        <w:rPr>
          <w:sz w:val="24"/>
          <w:szCs w:val="24"/>
        </w:rPr>
        <w:instrText xml:space="preserve"> SEQ Figure \* ARABIC </w:instrText>
      </w:r>
      <w:r w:rsidR="00367EA9" w:rsidRPr="008D4032">
        <w:rPr>
          <w:sz w:val="24"/>
          <w:szCs w:val="24"/>
        </w:rPr>
        <w:fldChar w:fldCharType="separate"/>
      </w:r>
      <w:r w:rsidR="00B37078">
        <w:rPr>
          <w:noProof/>
          <w:sz w:val="24"/>
          <w:szCs w:val="24"/>
        </w:rPr>
        <w:t>3</w:t>
      </w:r>
      <w:r w:rsidR="00367EA9" w:rsidRPr="008D4032">
        <w:rPr>
          <w:sz w:val="24"/>
          <w:szCs w:val="24"/>
        </w:rPr>
        <w:fldChar w:fldCharType="end"/>
      </w:r>
      <w:bookmarkEnd w:id="51"/>
      <w:r w:rsidR="008D4032" w:rsidRPr="008D4032">
        <w:rPr>
          <w:sz w:val="24"/>
          <w:szCs w:val="24"/>
        </w:rPr>
        <w:t xml:space="preserve">.  </w:t>
      </w:r>
      <w:r w:rsidR="008D4032" w:rsidRPr="008D4032">
        <w:rPr>
          <w:b w:val="0"/>
          <w:sz w:val="24"/>
          <w:szCs w:val="24"/>
        </w:rPr>
        <w:t xml:space="preserve">Showing the change in demand impacts for climate zones CZ01, CZ03 and CZ05 for the </w:t>
      </w:r>
      <w:r w:rsidR="008D4032" w:rsidRPr="008D4032">
        <w:rPr>
          <w:sz w:val="24"/>
          <w:szCs w:val="24"/>
        </w:rPr>
        <w:t>Large Office Building, 2002-2005 Vintage</w:t>
      </w:r>
      <w:r w:rsidR="008D4032" w:rsidRPr="008D4032">
        <w:rPr>
          <w:b w:val="0"/>
          <w:sz w:val="24"/>
          <w:szCs w:val="24"/>
        </w:rPr>
        <w:t xml:space="preserve"> prototype</w:t>
      </w:r>
    </w:p>
    <w:p w:rsidR="00C76919" w:rsidRPr="00C76919" w:rsidRDefault="00C76919" w:rsidP="00C76919"/>
    <w:p w:rsidR="000E3958" w:rsidRDefault="000E3958" w:rsidP="00892D2B">
      <w:pPr>
        <w:pStyle w:val="Caption"/>
      </w:pPr>
    </w:p>
    <w:p w:rsidR="003902CA" w:rsidRPr="003902CA" w:rsidRDefault="00367EA9" w:rsidP="003902CA">
      <w:r>
        <w:fldChar w:fldCharType="begin"/>
      </w:r>
      <w:r w:rsidR="003902CA">
        <w:instrText xml:space="preserve"> REF _Ref252362314 \h </w:instrText>
      </w:r>
      <w:r>
        <w:fldChar w:fldCharType="separate"/>
      </w:r>
      <w:r w:rsidR="008125B4" w:rsidRPr="003902CA">
        <w:t xml:space="preserve">Figure </w:t>
      </w:r>
      <w:r w:rsidR="008125B4">
        <w:rPr>
          <w:noProof/>
        </w:rPr>
        <w:t>4</w:t>
      </w:r>
      <w:r>
        <w:fldChar w:fldCharType="end"/>
      </w:r>
      <w:r w:rsidR="003902CA">
        <w:t xml:space="preserve"> shows the decrease in the gas energy savings per </w:t>
      </w:r>
      <w:proofErr w:type="spellStart"/>
      <w:r w:rsidR="003902CA">
        <w:t>kBTUh</w:t>
      </w:r>
      <w:proofErr w:type="spellEnd"/>
      <w:r w:rsidR="003902CA">
        <w:t xml:space="preserve"> capacity for a hot water system in the small office prototype.  This decrease per unit of capacity is due to the increase in assumed heating capacity of the hot water system, as discussed above.  The actual energy savings in total therms is actually slightly larger in the new version, but the capacity increased by 25% in this case.</w:t>
      </w:r>
    </w:p>
    <w:p w:rsidR="000E3958" w:rsidRDefault="000E3958">
      <w:pPr>
        <w:spacing w:before="100" w:beforeAutospacing="1" w:after="100" w:afterAutospacing="1"/>
      </w:pPr>
    </w:p>
    <w:p w:rsidR="008D4032" w:rsidRPr="00213E07" w:rsidRDefault="00917155" w:rsidP="00213E07">
      <w:pPr>
        <w:keepNext/>
      </w:pPr>
      <w:r>
        <w:rPr>
          <w:noProof/>
        </w:rPr>
        <w:lastRenderedPageBreak/>
        <w:drawing>
          <wp:inline distT="0" distB="0" distL="0" distR="0">
            <wp:extent cx="5467458" cy="3418559"/>
            <wp:effectExtent l="0" t="0" r="5607" b="4091"/>
            <wp:docPr id="1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E3958" w:rsidRDefault="008D4032" w:rsidP="008D4032">
      <w:pPr>
        <w:pStyle w:val="Caption"/>
        <w:rPr>
          <w:b w:val="0"/>
          <w:sz w:val="24"/>
          <w:szCs w:val="24"/>
        </w:rPr>
      </w:pPr>
      <w:bookmarkStart w:id="52" w:name="_Ref252362314"/>
      <w:r w:rsidRPr="003902CA">
        <w:rPr>
          <w:sz w:val="24"/>
          <w:szCs w:val="24"/>
        </w:rPr>
        <w:t xml:space="preserve">Figure </w:t>
      </w:r>
      <w:r w:rsidR="00367EA9" w:rsidRPr="003902CA">
        <w:rPr>
          <w:sz w:val="24"/>
          <w:szCs w:val="24"/>
        </w:rPr>
        <w:fldChar w:fldCharType="begin"/>
      </w:r>
      <w:r w:rsidRPr="003902CA">
        <w:rPr>
          <w:sz w:val="24"/>
          <w:szCs w:val="24"/>
        </w:rPr>
        <w:instrText xml:space="preserve"> SEQ Figure \* ARABIC </w:instrText>
      </w:r>
      <w:r w:rsidR="00367EA9" w:rsidRPr="003902CA">
        <w:rPr>
          <w:sz w:val="24"/>
          <w:szCs w:val="24"/>
        </w:rPr>
        <w:fldChar w:fldCharType="separate"/>
      </w:r>
      <w:r w:rsidR="00B37078">
        <w:rPr>
          <w:noProof/>
          <w:sz w:val="24"/>
          <w:szCs w:val="24"/>
        </w:rPr>
        <w:t>4</w:t>
      </w:r>
      <w:r w:rsidR="00367EA9" w:rsidRPr="003902CA">
        <w:rPr>
          <w:sz w:val="24"/>
          <w:szCs w:val="24"/>
        </w:rPr>
        <w:fldChar w:fldCharType="end"/>
      </w:r>
      <w:bookmarkEnd w:id="52"/>
      <w:r w:rsidRPr="003902CA">
        <w:rPr>
          <w:b w:val="0"/>
          <w:sz w:val="24"/>
          <w:szCs w:val="24"/>
        </w:rPr>
        <w:t xml:space="preserve">.  Showing the decrease in gas savings per </w:t>
      </w:r>
      <w:proofErr w:type="spellStart"/>
      <w:r w:rsidRPr="003902CA">
        <w:rPr>
          <w:b w:val="0"/>
          <w:sz w:val="24"/>
          <w:szCs w:val="24"/>
        </w:rPr>
        <w:t>kBTUh</w:t>
      </w:r>
      <w:proofErr w:type="spellEnd"/>
      <w:r w:rsidRPr="003902CA">
        <w:rPr>
          <w:b w:val="0"/>
          <w:sz w:val="24"/>
          <w:szCs w:val="24"/>
        </w:rPr>
        <w:t xml:space="preserve"> capacity of the hot water system for </w:t>
      </w:r>
      <w:r w:rsidR="003902CA" w:rsidRPr="003902CA">
        <w:rPr>
          <w:b w:val="0"/>
          <w:sz w:val="24"/>
          <w:szCs w:val="24"/>
        </w:rPr>
        <w:t xml:space="preserve">the </w:t>
      </w:r>
      <w:smartTag w:uri="urn:schemas-microsoft-com:office:smarttags" w:element="place">
        <w:smartTag w:uri="urn:schemas-microsoft-com:office:smarttags" w:element="PlaceName">
          <w:r w:rsidR="003902CA" w:rsidRPr="003902CA">
            <w:rPr>
              <w:sz w:val="24"/>
              <w:szCs w:val="24"/>
            </w:rPr>
            <w:t>Small</w:t>
          </w:r>
        </w:smartTag>
        <w:r w:rsidR="003902CA" w:rsidRPr="003902CA">
          <w:rPr>
            <w:sz w:val="24"/>
            <w:szCs w:val="24"/>
          </w:rPr>
          <w:t xml:space="preserve"> </w:t>
        </w:r>
        <w:smartTag w:uri="urn:schemas-microsoft-com:office:smarttags" w:element="PlaceName">
          <w:r w:rsidR="003902CA" w:rsidRPr="003902CA">
            <w:rPr>
              <w:sz w:val="24"/>
              <w:szCs w:val="24"/>
            </w:rPr>
            <w:t>Office</w:t>
          </w:r>
        </w:smartTag>
        <w:r w:rsidR="003902CA" w:rsidRPr="003902CA">
          <w:rPr>
            <w:sz w:val="24"/>
            <w:szCs w:val="24"/>
          </w:rPr>
          <w:t xml:space="preserve"> </w:t>
        </w:r>
        <w:smartTag w:uri="urn:schemas-microsoft-com:office:smarttags" w:element="PlaceType">
          <w:r w:rsidR="003902CA" w:rsidRPr="003902CA">
            <w:rPr>
              <w:sz w:val="24"/>
              <w:szCs w:val="24"/>
            </w:rPr>
            <w:t>Building</w:t>
          </w:r>
        </w:smartTag>
      </w:smartTag>
      <w:r w:rsidR="003902CA" w:rsidRPr="003902CA">
        <w:rPr>
          <w:sz w:val="24"/>
          <w:szCs w:val="24"/>
        </w:rPr>
        <w:t>, Existing vintage</w:t>
      </w:r>
      <w:r w:rsidR="003902CA">
        <w:rPr>
          <w:b w:val="0"/>
          <w:sz w:val="24"/>
          <w:szCs w:val="24"/>
        </w:rPr>
        <w:t xml:space="preserve"> prototype</w:t>
      </w:r>
    </w:p>
    <w:p w:rsidR="00EC3620" w:rsidRDefault="00EC3620" w:rsidP="00EC3620"/>
    <w:p w:rsidR="00786990" w:rsidRDefault="00EC3620" w:rsidP="00EC3620">
      <w:r>
        <w:t xml:space="preserve">For the residential models, the largest change in the results is due to </w:t>
      </w:r>
      <w:r w:rsidR="00046764">
        <w:t>the DOE2.2</w:t>
      </w:r>
      <w:r>
        <w:t xml:space="preserve"> bug-fix that corrected the amount of outside air associated with duct losses to the outside.  </w:t>
      </w:r>
      <w:r w:rsidR="00367EA9">
        <w:fldChar w:fldCharType="begin"/>
      </w:r>
      <w:r w:rsidR="00786990">
        <w:instrText xml:space="preserve"> REF _Ref252371515 \h </w:instrText>
      </w:r>
      <w:r w:rsidR="00367EA9">
        <w:fldChar w:fldCharType="separate"/>
      </w:r>
      <w:r w:rsidR="008125B4" w:rsidRPr="00213E07">
        <w:t xml:space="preserve">Figure </w:t>
      </w:r>
      <w:r w:rsidR="008125B4">
        <w:rPr>
          <w:noProof/>
        </w:rPr>
        <w:t>5</w:t>
      </w:r>
      <w:r w:rsidR="00367EA9">
        <w:fldChar w:fldCharType="end"/>
      </w:r>
      <w:r w:rsidR="00786990">
        <w:t xml:space="preserve"> shows a significant drop in the demand and energy savings in most climate zones for a SEER 14 HVAC measure applied to the mobile home prototype.  The earlier database savings values were exaggerated, especially in the hotter climate zones, due to the bug that increased the cooling and heating loads and made the duct system appear to be extremely inefficient.  The mobile home prototype is assumed to have no return ductwork, thus all duct leakage is lost to the outside.</w:t>
      </w:r>
      <w:r w:rsidR="00771D52">
        <w:t xml:space="preserve">  The DOE2.2 code was basically doubling duct air losses to the outside before the bug fix.</w:t>
      </w:r>
    </w:p>
    <w:p w:rsidR="00786990" w:rsidRDefault="00786990" w:rsidP="00EC3620"/>
    <w:p w:rsidR="00EC3620" w:rsidRDefault="00786990" w:rsidP="00EC3620">
      <w:r>
        <w:t xml:space="preserve">This </w:t>
      </w:r>
      <w:r w:rsidR="00771D52">
        <w:t xml:space="preserve">issue did not impact the single-family residence to the same degree, as a smaller fraction of the total duct air loss is assumed to be to the outside.  </w:t>
      </w:r>
      <w:r w:rsidR="00367EA9">
        <w:fldChar w:fldCharType="begin"/>
      </w:r>
      <w:r w:rsidR="00771D52">
        <w:instrText xml:space="preserve"> REF _Ref252372157 \h </w:instrText>
      </w:r>
      <w:r w:rsidR="00367EA9">
        <w:fldChar w:fldCharType="separate"/>
      </w:r>
      <w:r w:rsidR="008125B4" w:rsidRPr="00EC3620">
        <w:t xml:space="preserve">Figure </w:t>
      </w:r>
      <w:r w:rsidR="008125B4">
        <w:rPr>
          <w:noProof/>
        </w:rPr>
        <w:t>6</w:t>
      </w:r>
      <w:r w:rsidR="00367EA9">
        <w:fldChar w:fldCharType="end"/>
      </w:r>
      <w:r w:rsidR="00771D52">
        <w:t xml:space="preserve"> shows the same impacts for the single-family residence; in this case the savings increase overall, and the largest decrease is on the order of a few percent.</w:t>
      </w:r>
    </w:p>
    <w:p w:rsidR="00213E07" w:rsidRPr="00EC3620" w:rsidRDefault="00213E07" w:rsidP="00EC3620"/>
    <w:p w:rsidR="00213E07" w:rsidRDefault="00917155" w:rsidP="00213E07">
      <w:pPr>
        <w:keepNext/>
      </w:pPr>
      <w:r>
        <w:rPr>
          <w:noProof/>
        </w:rPr>
        <w:lastRenderedPageBreak/>
        <w:drawing>
          <wp:inline distT="0" distB="0" distL="0" distR="0">
            <wp:extent cx="5467458" cy="3422219"/>
            <wp:effectExtent l="0" t="0" r="5607" b="6781"/>
            <wp:docPr id="1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86990" w:rsidRPr="00EC3620" w:rsidRDefault="00213E07" w:rsidP="00786990">
      <w:pPr>
        <w:pStyle w:val="Caption"/>
        <w:rPr>
          <w:b w:val="0"/>
          <w:sz w:val="24"/>
          <w:szCs w:val="24"/>
        </w:rPr>
      </w:pPr>
      <w:bookmarkStart w:id="53" w:name="_Ref252371515"/>
      <w:r w:rsidRPr="00213E07">
        <w:rPr>
          <w:sz w:val="24"/>
          <w:szCs w:val="24"/>
        </w:rPr>
        <w:t xml:space="preserve">Figure </w:t>
      </w:r>
      <w:r w:rsidR="00367EA9" w:rsidRPr="00213E07">
        <w:rPr>
          <w:sz w:val="24"/>
          <w:szCs w:val="24"/>
        </w:rPr>
        <w:fldChar w:fldCharType="begin"/>
      </w:r>
      <w:r w:rsidRPr="00213E07">
        <w:rPr>
          <w:sz w:val="24"/>
          <w:szCs w:val="24"/>
        </w:rPr>
        <w:instrText xml:space="preserve"> SEQ Figure \* ARABIC </w:instrText>
      </w:r>
      <w:r w:rsidR="00367EA9" w:rsidRPr="00213E07">
        <w:rPr>
          <w:sz w:val="24"/>
          <w:szCs w:val="24"/>
        </w:rPr>
        <w:fldChar w:fldCharType="separate"/>
      </w:r>
      <w:r w:rsidR="00B37078">
        <w:rPr>
          <w:noProof/>
          <w:sz w:val="24"/>
          <w:szCs w:val="24"/>
        </w:rPr>
        <w:t>5</w:t>
      </w:r>
      <w:r w:rsidR="00367EA9" w:rsidRPr="00213E07">
        <w:rPr>
          <w:sz w:val="24"/>
          <w:szCs w:val="24"/>
        </w:rPr>
        <w:fldChar w:fldCharType="end"/>
      </w:r>
      <w:bookmarkEnd w:id="53"/>
      <w:r w:rsidR="00786990">
        <w:rPr>
          <w:sz w:val="24"/>
          <w:szCs w:val="24"/>
        </w:rPr>
        <w:t>.</w:t>
      </w:r>
      <w:r w:rsidR="00786990" w:rsidRPr="00786990">
        <w:rPr>
          <w:b w:val="0"/>
          <w:sz w:val="24"/>
          <w:szCs w:val="24"/>
        </w:rPr>
        <w:t xml:space="preserve"> </w:t>
      </w:r>
      <w:r w:rsidR="00786990">
        <w:rPr>
          <w:b w:val="0"/>
          <w:sz w:val="24"/>
          <w:szCs w:val="24"/>
        </w:rPr>
        <w:t xml:space="preserve"> </w:t>
      </w:r>
      <w:r w:rsidR="00786990" w:rsidRPr="00EC3620">
        <w:rPr>
          <w:b w:val="0"/>
          <w:sz w:val="24"/>
          <w:szCs w:val="24"/>
        </w:rPr>
        <w:t xml:space="preserve">Showing a </w:t>
      </w:r>
      <w:r w:rsidR="00786990">
        <w:rPr>
          <w:b w:val="0"/>
          <w:sz w:val="24"/>
          <w:szCs w:val="24"/>
        </w:rPr>
        <w:t>significant</w:t>
      </w:r>
      <w:r w:rsidR="00786990" w:rsidRPr="00EC3620">
        <w:rPr>
          <w:b w:val="0"/>
          <w:sz w:val="24"/>
          <w:szCs w:val="24"/>
        </w:rPr>
        <w:t xml:space="preserve"> </w:t>
      </w:r>
      <w:r w:rsidR="00786990">
        <w:rPr>
          <w:b w:val="0"/>
          <w:sz w:val="24"/>
          <w:szCs w:val="24"/>
        </w:rPr>
        <w:t>decrease</w:t>
      </w:r>
      <w:r w:rsidR="00786990" w:rsidRPr="00EC3620">
        <w:rPr>
          <w:b w:val="0"/>
          <w:sz w:val="24"/>
          <w:szCs w:val="24"/>
        </w:rPr>
        <w:t xml:space="preserve"> in </w:t>
      </w:r>
      <w:r w:rsidR="00786990">
        <w:rPr>
          <w:b w:val="0"/>
          <w:sz w:val="24"/>
          <w:szCs w:val="24"/>
        </w:rPr>
        <w:t xml:space="preserve">electricity energy and demand </w:t>
      </w:r>
      <w:r w:rsidR="00786990" w:rsidRPr="00EC3620">
        <w:rPr>
          <w:b w:val="0"/>
          <w:sz w:val="24"/>
          <w:szCs w:val="24"/>
        </w:rPr>
        <w:t xml:space="preserve">savings for an HVAC measures applied to the </w:t>
      </w:r>
      <w:r w:rsidR="00786990">
        <w:rPr>
          <w:sz w:val="24"/>
          <w:szCs w:val="24"/>
        </w:rPr>
        <w:t>Mobile Home</w:t>
      </w:r>
      <w:r w:rsidR="00786990" w:rsidRPr="00EC3620">
        <w:rPr>
          <w:sz w:val="24"/>
          <w:szCs w:val="24"/>
        </w:rPr>
        <w:t>, Existing Vintage</w:t>
      </w:r>
      <w:r w:rsidR="00786990" w:rsidRPr="00EC3620">
        <w:rPr>
          <w:b w:val="0"/>
          <w:sz w:val="24"/>
          <w:szCs w:val="24"/>
        </w:rPr>
        <w:t xml:space="preserve"> prototype</w:t>
      </w:r>
    </w:p>
    <w:p w:rsidR="00EC3620" w:rsidRDefault="00EC3620" w:rsidP="00213E07">
      <w:pPr>
        <w:pStyle w:val="Caption"/>
        <w:rPr>
          <w:sz w:val="24"/>
          <w:szCs w:val="24"/>
        </w:rPr>
      </w:pPr>
    </w:p>
    <w:p w:rsidR="00771D52" w:rsidRPr="00771D52" w:rsidRDefault="00771D52" w:rsidP="00771D52"/>
    <w:p w:rsidR="00EC3620" w:rsidRDefault="00917155" w:rsidP="00786990">
      <w:pPr>
        <w:keepNext/>
      </w:pPr>
      <w:r>
        <w:rPr>
          <w:noProof/>
        </w:rPr>
        <w:drawing>
          <wp:inline distT="0" distB="0" distL="0" distR="0">
            <wp:extent cx="5467458" cy="3422219"/>
            <wp:effectExtent l="0" t="0" r="5607" b="6781"/>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C3620" w:rsidRPr="00EC3620" w:rsidRDefault="00EC3620" w:rsidP="00EC3620">
      <w:pPr>
        <w:pStyle w:val="Caption"/>
        <w:rPr>
          <w:b w:val="0"/>
          <w:sz w:val="24"/>
          <w:szCs w:val="24"/>
        </w:rPr>
      </w:pPr>
      <w:bookmarkStart w:id="54" w:name="_Ref252372157"/>
      <w:r w:rsidRPr="00EC3620">
        <w:rPr>
          <w:sz w:val="24"/>
          <w:szCs w:val="24"/>
        </w:rPr>
        <w:t xml:space="preserve">Figure </w:t>
      </w:r>
      <w:r w:rsidR="00367EA9" w:rsidRPr="00EC3620">
        <w:rPr>
          <w:sz w:val="24"/>
          <w:szCs w:val="24"/>
        </w:rPr>
        <w:fldChar w:fldCharType="begin"/>
      </w:r>
      <w:r w:rsidRPr="00EC3620">
        <w:rPr>
          <w:sz w:val="24"/>
          <w:szCs w:val="24"/>
        </w:rPr>
        <w:instrText xml:space="preserve"> SEQ Figure \* ARABIC </w:instrText>
      </w:r>
      <w:r w:rsidR="00367EA9" w:rsidRPr="00EC3620">
        <w:rPr>
          <w:sz w:val="24"/>
          <w:szCs w:val="24"/>
        </w:rPr>
        <w:fldChar w:fldCharType="separate"/>
      </w:r>
      <w:r w:rsidR="00B37078">
        <w:rPr>
          <w:noProof/>
          <w:sz w:val="24"/>
          <w:szCs w:val="24"/>
        </w:rPr>
        <w:t>6</w:t>
      </w:r>
      <w:r w:rsidR="00367EA9" w:rsidRPr="00EC3620">
        <w:rPr>
          <w:sz w:val="24"/>
          <w:szCs w:val="24"/>
        </w:rPr>
        <w:fldChar w:fldCharType="end"/>
      </w:r>
      <w:bookmarkEnd w:id="54"/>
      <w:r w:rsidRPr="00EC3620">
        <w:rPr>
          <w:b w:val="0"/>
          <w:sz w:val="24"/>
          <w:szCs w:val="24"/>
        </w:rPr>
        <w:t xml:space="preserve">.  Showing a small </w:t>
      </w:r>
      <w:r w:rsidR="00786990">
        <w:rPr>
          <w:b w:val="0"/>
          <w:sz w:val="24"/>
          <w:szCs w:val="24"/>
        </w:rPr>
        <w:t>change</w:t>
      </w:r>
      <w:r w:rsidRPr="00EC3620">
        <w:rPr>
          <w:b w:val="0"/>
          <w:sz w:val="24"/>
          <w:szCs w:val="24"/>
        </w:rPr>
        <w:t xml:space="preserve"> in </w:t>
      </w:r>
      <w:r>
        <w:rPr>
          <w:b w:val="0"/>
          <w:sz w:val="24"/>
          <w:szCs w:val="24"/>
        </w:rPr>
        <w:t xml:space="preserve">electricity energy and demand </w:t>
      </w:r>
      <w:r w:rsidRPr="00EC3620">
        <w:rPr>
          <w:b w:val="0"/>
          <w:sz w:val="24"/>
          <w:szCs w:val="24"/>
        </w:rPr>
        <w:t xml:space="preserve">savings for an HVAC measures applied to the </w:t>
      </w:r>
      <w:r w:rsidRPr="00EC3620">
        <w:rPr>
          <w:sz w:val="24"/>
          <w:szCs w:val="24"/>
        </w:rPr>
        <w:t>Single-Family, Existing Vintage</w:t>
      </w:r>
      <w:r w:rsidRPr="00EC3620">
        <w:rPr>
          <w:b w:val="0"/>
          <w:sz w:val="24"/>
          <w:szCs w:val="24"/>
        </w:rPr>
        <w:t xml:space="preserve"> prototype</w:t>
      </w:r>
    </w:p>
    <w:p w:rsidR="00B37078" w:rsidRDefault="00C76919" w:rsidP="00C76919">
      <w:pPr>
        <w:spacing w:before="100" w:beforeAutospacing="1" w:after="100" w:afterAutospacing="1"/>
      </w:pPr>
      <w:r>
        <w:lastRenderedPageBreak/>
        <w:t>The accompanying spreadsheet “</w:t>
      </w:r>
      <w:r w:rsidRPr="00C76919">
        <w:t>DEEER Database - Compare v2.05 to v</w:t>
      </w:r>
      <w:r w:rsidR="00B37078">
        <w:t>4.00.xls</w:t>
      </w:r>
      <w:r w:rsidRPr="00C76919">
        <w:t>.</w:t>
      </w:r>
      <w:r>
        <w:t>” demonstrates the changes in energy impacts for a variety of building types, measures categories and climate zones, including the weighted IOU territories.</w:t>
      </w:r>
      <w:r w:rsidR="00B37078">
        <w:t xml:space="preserve"> Some sample graphs from this workbook are provided below:</w:t>
      </w:r>
    </w:p>
    <w:p w:rsidR="00B37078" w:rsidRDefault="00B37078" w:rsidP="00B37078">
      <w:pPr>
        <w:pStyle w:val="Caption"/>
        <w:keepNext/>
      </w:pPr>
      <w:r>
        <w:t>Nonresidential Linear Fluorescent Measure for Small Office</w:t>
      </w:r>
    </w:p>
    <w:p w:rsidR="00B37078" w:rsidRDefault="00917155" w:rsidP="00C76919">
      <w:pPr>
        <w:spacing w:before="100" w:beforeAutospacing="1" w:after="100" w:afterAutospacing="1"/>
      </w:pPr>
      <w:r>
        <w:rPr>
          <w:noProof/>
        </w:rPr>
        <w:drawing>
          <wp:inline distT="0" distB="0" distL="0" distR="0">
            <wp:extent cx="5467458" cy="3423973"/>
            <wp:effectExtent l="0" t="0" r="5607" b="5027"/>
            <wp:docPr id="1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37078" w:rsidRDefault="00B37078" w:rsidP="00B37078">
      <w:pPr>
        <w:pStyle w:val="Caption"/>
        <w:keepNext/>
      </w:pPr>
      <w:r>
        <w:lastRenderedPageBreak/>
        <w:t>CFL Measure for Small Retail</w:t>
      </w:r>
    </w:p>
    <w:p w:rsidR="00B37078" w:rsidRDefault="00917155" w:rsidP="00C76919">
      <w:pPr>
        <w:spacing w:before="100" w:beforeAutospacing="1" w:after="100" w:afterAutospacing="1"/>
      </w:pPr>
      <w:r>
        <w:rPr>
          <w:noProof/>
        </w:rPr>
        <w:drawing>
          <wp:inline distT="0" distB="0" distL="0" distR="0">
            <wp:extent cx="5467458" cy="3423973"/>
            <wp:effectExtent l="0" t="0" r="5607" b="5027"/>
            <wp:docPr id="1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37078" w:rsidRDefault="00B37078" w:rsidP="00B37078">
      <w:pPr>
        <w:pStyle w:val="Caption"/>
        <w:keepNext/>
      </w:pPr>
      <w:r>
        <w:t>Package HVAC Measure for Small Office</w:t>
      </w:r>
    </w:p>
    <w:p w:rsidR="00B37078" w:rsidRDefault="00917155" w:rsidP="00C76919">
      <w:pPr>
        <w:spacing w:before="100" w:beforeAutospacing="1" w:after="100" w:afterAutospacing="1"/>
      </w:pPr>
      <w:r>
        <w:rPr>
          <w:noProof/>
        </w:rPr>
        <w:drawing>
          <wp:inline distT="0" distB="0" distL="0" distR="0">
            <wp:extent cx="5467458" cy="3423973"/>
            <wp:effectExtent l="0" t="0" r="5607" b="5027"/>
            <wp:docPr id="1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37078" w:rsidRDefault="00B37078" w:rsidP="00B37078">
      <w:pPr>
        <w:pStyle w:val="Caption"/>
        <w:keepNext/>
      </w:pPr>
      <w:r>
        <w:lastRenderedPageBreak/>
        <w:t>Chiller Measure for Large Office</w:t>
      </w:r>
    </w:p>
    <w:p w:rsidR="00B37078" w:rsidRDefault="00917155" w:rsidP="00C76919">
      <w:pPr>
        <w:spacing w:before="100" w:beforeAutospacing="1" w:after="100" w:afterAutospacing="1"/>
      </w:pPr>
      <w:r>
        <w:rPr>
          <w:noProof/>
        </w:rPr>
        <w:drawing>
          <wp:inline distT="0" distB="0" distL="0" distR="0">
            <wp:extent cx="5467458" cy="3423973"/>
            <wp:effectExtent l="0" t="0" r="5607" b="5027"/>
            <wp:docPr id="1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37078" w:rsidRDefault="00B37078" w:rsidP="00B37078">
      <w:pPr>
        <w:pStyle w:val="Caption"/>
        <w:keepNext/>
      </w:pPr>
      <w:r>
        <w:t>New Refrigerator Measure for Single Family</w:t>
      </w:r>
    </w:p>
    <w:p w:rsidR="00B37078" w:rsidRDefault="00917155" w:rsidP="00C76919">
      <w:pPr>
        <w:spacing w:before="100" w:beforeAutospacing="1" w:after="100" w:afterAutospacing="1"/>
      </w:pPr>
      <w:r>
        <w:rPr>
          <w:noProof/>
        </w:rPr>
        <w:drawing>
          <wp:inline distT="0" distB="0" distL="0" distR="0">
            <wp:extent cx="5467458" cy="3422219"/>
            <wp:effectExtent l="0" t="0" r="5607" b="6781"/>
            <wp:docPr id="1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37078" w:rsidRDefault="00B37078" w:rsidP="00B37078">
      <w:pPr>
        <w:pStyle w:val="Caption"/>
        <w:keepNext/>
      </w:pPr>
      <w:r>
        <w:lastRenderedPageBreak/>
        <w:t>Package HVAC Measure for Single Family</w:t>
      </w:r>
    </w:p>
    <w:p w:rsidR="00B37078" w:rsidRDefault="00917155" w:rsidP="00C76919">
      <w:pPr>
        <w:spacing w:before="100" w:beforeAutospacing="1" w:after="100" w:afterAutospacing="1"/>
      </w:pPr>
      <w:r>
        <w:rPr>
          <w:noProof/>
        </w:rPr>
        <w:drawing>
          <wp:inline distT="0" distB="0" distL="0" distR="0">
            <wp:extent cx="5467458" cy="3422219"/>
            <wp:effectExtent l="0" t="0" r="5607" b="6781"/>
            <wp:docPr id="1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76919" w:rsidRDefault="00C76919" w:rsidP="00C76919">
      <w:pPr>
        <w:spacing w:before="100" w:beforeAutospacing="1" w:after="100" w:afterAutospacing="1"/>
      </w:pPr>
    </w:p>
    <w:p w:rsidR="006C3507" w:rsidRDefault="006C3507" w:rsidP="006C3507">
      <w:pPr>
        <w:spacing w:before="100" w:beforeAutospacing="1" w:after="100" w:afterAutospacing="1"/>
        <w:sectPr w:rsidR="006C3507" w:rsidSect="000D48CE">
          <w:headerReference w:type="default" r:id="rId27"/>
          <w:footerReference w:type="even" r:id="rId28"/>
          <w:footerReference w:type="default" r:id="rId29"/>
          <w:footerReference w:type="first" r:id="rId30"/>
          <w:pgSz w:w="12240" w:h="15840" w:code="1"/>
          <w:pgMar w:top="1440" w:right="1800" w:bottom="1440" w:left="1800" w:header="720" w:footer="720" w:gutter="0"/>
          <w:cols w:space="720"/>
          <w:titlePg/>
          <w:docGrid w:linePitch="360"/>
        </w:sectPr>
      </w:pPr>
    </w:p>
    <w:p w:rsidR="00C76919" w:rsidRDefault="00646BD1" w:rsidP="00812011">
      <w:pPr>
        <w:pStyle w:val="Heading2"/>
      </w:pPr>
      <w:bookmarkStart w:id="55" w:name="_Toc308511049"/>
      <w:r>
        <w:lastRenderedPageBreak/>
        <w:t>Appendix – Lighting Operating Hours and Coincident Demand Factors</w:t>
      </w:r>
      <w:bookmarkEnd w:id="55"/>
    </w:p>
    <w:p w:rsidR="006C3507" w:rsidRDefault="00917155" w:rsidP="006C3507">
      <w:pPr>
        <w:spacing w:before="100" w:beforeAutospacing="1" w:after="100" w:afterAutospacing="1"/>
      </w:pPr>
      <w:r>
        <w:rPr>
          <w:noProof/>
        </w:rPr>
        <w:drawing>
          <wp:inline distT="0" distB="0" distL="0" distR="0">
            <wp:extent cx="8869680" cy="3918585"/>
            <wp:effectExtent l="1905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srcRect/>
                    <a:stretch>
                      <a:fillRect/>
                    </a:stretch>
                  </pic:blipFill>
                  <pic:spPr bwMode="auto">
                    <a:xfrm>
                      <a:off x="0" y="0"/>
                      <a:ext cx="8869680" cy="3918585"/>
                    </a:xfrm>
                    <a:prstGeom prst="rect">
                      <a:avLst/>
                    </a:prstGeom>
                    <a:noFill/>
                    <a:ln w="9525">
                      <a:noFill/>
                      <a:miter lim="800000"/>
                      <a:headEnd/>
                      <a:tailEnd/>
                    </a:ln>
                  </pic:spPr>
                </pic:pic>
              </a:graphicData>
            </a:graphic>
          </wp:inline>
        </w:drawing>
      </w:r>
    </w:p>
    <w:p w:rsidR="006C3507" w:rsidRDefault="006C3507" w:rsidP="006C3507">
      <w:pPr>
        <w:spacing w:before="100" w:beforeAutospacing="1" w:after="100" w:afterAutospacing="1"/>
      </w:pPr>
      <w:r>
        <w:br w:type="page"/>
      </w:r>
    </w:p>
    <w:p w:rsidR="006C3507" w:rsidRDefault="00917155" w:rsidP="006C3507">
      <w:pPr>
        <w:spacing w:before="100" w:beforeAutospacing="1" w:after="100" w:afterAutospacing="1"/>
      </w:pPr>
      <w:r>
        <w:rPr>
          <w:noProof/>
        </w:rPr>
        <w:lastRenderedPageBreak/>
        <w:drawing>
          <wp:inline distT="0" distB="0" distL="0" distR="0">
            <wp:extent cx="8869680" cy="3918585"/>
            <wp:effectExtent l="1905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srcRect/>
                    <a:stretch>
                      <a:fillRect/>
                    </a:stretch>
                  </pic:blipFill>
                  <pic:spPr bwMode="auto">
                    <a:xfrm>
                      <a:off x="0" y="0"/>
                      <a:ext cx="8869680" cy="3918585"/>
                    </a:xfrm>
                    <a:prstGeom prst="rect">
                      <a:avLst/>
                    </a:prstGeom>
                    <a:noFill/>
                    <a:ln w="9525">
                      <a:noFill/>
                      <a:miter lim="800000"/>
                      <a:headEnd/>
                      <a:tailEnd/>
                    </a:ln>
                  </pic:spPr>
                </pic:pic>
              </a:graphicData>
            </a:graphic>
          </wp:inline>
        </w:drawing>
      </w:r>
    </w:p>
    <w:p w:rsidR="006C3507" w:rsidRDefault="006C3507" w:rsidP="006C3507">
      <w:pPr>
        <w:spacing w:before="100" w:beforeAutospacing="1" w:after="100" w:afterAutospacing="1"/>
      </w:pPr>
    </w:p>
    <w:p w:rsidR="006C3507" w:rsidRDefault="006C3507" w:rsidP="006C3507">
      <w:pPr>
        <w:spacing w:before="100" w:beforeAutospacing="1" w:after="100" w:afterAutospacing="1"/>
        <w:sectPr w:rsidR="006C3507" w:rsidSect="006C3507">
          <w:headerReference w:type="default" r:id="rId33"/>
          <w:footerReference w:type="default" r:id="rId34"/>
          <w:pgSz w:w="15840" w:h="12240" w:orient="landscape" w:code="1"/>
          <w:pgMar w:top="1440" w:right="864" w:bottom="1440" w:left="864" w:header="720" w:footer="720" w:gutter="0"/>
          <w:cols w:space="720"/>
          <w:docGrid w:linePitch="360"/>
        </w:sectPr>
      </w:pPr>
    </w:p>
    <w:p w:rsidR="006C3507" w:rsidRDefault="00646BD1" w:rsidP="00812011">
      <w:pPr>
        <w:pStyle w:val="Heading2"/>
      </w:pPr>
      <w:bookmarkStart w:id="56" w:name="_Toc308511050"/>
      <w:r>
        <w:lastRenderedPageBreak/>
        <w:t>Appendix – Status of 2005 DEER Measures</w:t>
      </w:r>
      <w:bookmarkEnd w:id="56"/>
    </w:p>
    <w:tbl>
      <w:tblPr>
        <w:tblW w:w="13866" w:type="dxa"/>
        <w:tblLayout w:type="fixed"/>
        <w:tblLook w:val="0420" w:firstRow="1" w:lastRow="0" w:firstColumn="0" w:lastColumn="0" w:noHBand="0" w:noVBand="1"/>
      </w:tblPr>
      <w:tblGrid>
        <w:gridCol w:w="964"/>
        <w:gridCol w:w="720"/>
        <w:gridCol w:w="932"/>
        <w:gridCol w:w="2092"/>
        <w:gridCol w:w="4568"/>
        <w:gridCol w:w="4590"/>
      </w:tblGrid>
      <w:tr w:rsidR="006C3507" w:rsidRPr="00BC22B4" w:rsidTr="00BC22B4">
        <w:trPr>
          <w:trHeight w:val="315"/>
        </w:trPr>
        <w:tc>
          <w:tcPr>
            <w:tcW w:w="964" w:type="dxa"/>
            <w:noWrap/>
            <w:hideMark/>
          </w:tcPr>
          <w:p w:rsidR="006C3507" w:rsidRPr="00BC22B4" w:rsidRDefault="006C3507" w:rsidP="00BC22B4">
            <w:pPr>
              <w:spacing w:before="80" w:after="80"/>
              <w:jc w:val="center"/>
              <w:rPr>
                <w:rFonts w:cs="Arial"/>
                <w:bCs/>
                <w:sz w:val="16"/>
                <w:szCs w:val="16"/>
              </w:rPr>
            </w:pPr>
            <w:r w:rsidRPr="00BC22B4">
              <w:rPr>
                <w:rFonts w:cs="Arial"/>
                <w:bCs/>
                <w:sz w:val="16"/>
                <w:szCs w:val="16"/>
              </w:rPr>
              <w:t>DEER 2005 Measure ID</w:t>
            </w:r>
          </w:p>
        </w:tc>
        <w:tc>
          <w:tcPr>
            <w:tcW w:w="720" w:type="dxa"/>
            <w:noWrap/>
            <w:hideMark/>
          </w:tcPr>
          <w:p w:rsidR="006C3507" w:rsidRPr="00BC22B4" w:rsidRDefault="006C3507" w:rsidP="00BC22B4">
            <w:pPr>
              <w:spacing w:before="80" w:after="80"/>
              <w:jc w:val="center"/>
              <w:rPr>
                <w:rFonts w:cs="Arial"/>
                <w:bCs/>
                <w:sz w:val="16"/>
                <w:szCs w:val="16"/>
              </w:rPr>
            </w:pPr>
            <w:r w:rsidRPr="00BC22B4">
              <w:rPr>
                <w:rFonts w:cs="Arial"/>
                <w:bCs/>
                <w:sz w:val="16"/>
                <w:szCs w:val="16"/>
              </w:rPr>
              <w:t>Sector</w:t>
            </w:r>
          </w:p>
        </w:tc>
        <w:tc>
          <w:tcPr>
            <w:tcW w:w="932" w:type="dxa"/>
            <w:noWrap/>
            <w:hideMark/>
          </w:tcPr>
          <w:p w:rsidR="006C3507" w:rsidRPr="00BC22B4" w:rsidRDefault="006C3507" w:rsidP="00BC22B4">
            <w:pPr>
              <w:spacing w:before="80" w:after="80"/>
              <w:jc w:val="center"/>
              <w:rPr>
                <w:rFonts w:cs="Arial"/>
                <w:b/>
                <w:bCs/>
                <w:sz w:val="16"/>
                <w:szCs w:val="16"/>
              </w:rPr>
            </w:pPr>
            <w:r w:rsidRPr="00BC22B4">
              <w:rPr>
                <w:rFonts w:cs="Arial"/>
                <w:b/>
                <w:bCs/>
                <w:sz w:val="16"/>
                <w:szCs w:val="16"/>
              </w:rPr>
              <w:t>Included in DEER 2011?</w:t>
            </w:r>
          </w:p>
        </w:tc>
        <w:tc>
          <w:tcPr>
            <w:tcW w:w="2092" w:type="dxa"/>
            <w:noWrap/>
            <w:hideMark/>
          </w:tcPr>
          <w:p w:rsidR="006C3507" w:rsidRPr="00BC22B4" w:rsidRDefault="006C3507" w:rsidP="00BC22B4">
            <w:pPr>
              <w:spacing w:before="80" w:after="80"/>
              <w:jc w:val="center"/>
              <w:rPr>
                <w:rFonts w:cs="Arial"/>
                <w:bCs/>
                <w:sz w:val="16"/>
                <w:szCs w:val="16"/>
              </w:rPr>
            </w:pPr>
            <w:r w:rsidRPr="00BC22B4">
              <w:rPr>
                <w:rFonts w:cs="Arial"/>
                <w:bCs/>
                <w:sz w:val="16"/>
                <w:szCs w:val="16"/>
              </w:rPr>
              <w:t>Reason for Removing</w:t>
            </w:r>
          </w:p>
        </w:tc>
        <w:tc>
          <w:tcPr>
            <w:tcW w:w="4568" w:type="dxa"/>
            <w:noWrap/>
            <w:hideMark/>
          </w:tcPr>
          <w:p w:rsidR="006C3507" w:rsidRPr="00BC22B4" w:rsidRDefault="006C3507" w:rsidP="00BC22B4">
            <w:pPr>
              <w:spacing w:before="80" w:after="80"/>
              <w:jc w:val="center"/>
              <w:rPr>
                <w:rFonts w:cs="Arial"/>
                <w:bCs/>
                <w:sz w:val="16"/>
                <w:szCs w:val="16"/>
              </w:rPr>
            </w:pPr>
            <w:r w:rsidRPr="00BC22B4">
              <w:rPr>
                <w:rFonts w:cs="Arial"/>
                <w:bCs/>
                <w:sz w:val="16"/>
                <w:szCs w:val="16"/>
              </w:rPr>
              <w:t>Measure Name</w:t>
            </w:r>
          </w:p>
        </w:tc>
        <w:tc>
          <w:tcPr>
            <w:tcW w:w="4590" w:type="dxa"/>
            <w:noWrap/>
            <w:hideMark/>
          </w:tcPr>
          <w:p w:rsidR="006C3507" w:rsidRPr="00BC22B4" w:rsidRDefault="006C3507" w:rsidP="00BC22B4">
            <w:pPr>
              <w:spacing w:before="80" w:after="80"/>
              <w:jc w:val="center"/>
              <w:rPr>
                <w:rFonts w:cs="Arial"/>
                <w:bCs/>
                <w:sz w:val="16"/>
                <w:szCs w:val="16"/>
              </w:rPr>
            </w:pPr>
            <w:r w:rsidRPr="00BC22B4">
              <w:rPr>
                <w:rFonts w:cs="Arial"/>
                <w:bCs/>
                <w:sz w:val="16"/>
                <w:szCs w:val="16"/>
              </w:rPr>
              <w:t>Measure Description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Modeling method updated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Reduced Lighting - 10% reduction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all lighting levels reduced by 10%</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Modeling method updated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Reduced Lighting - 40% reduction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all lighting levels reduced by 40%</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Small area lighting sensor control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lighting level reduced based on </w:t>
            </w:r>
            <w:proofErr w:type="spellStart"/>
            <w:r w:rsidRPr="00BC22B4">
              <w:rPr>
                <w:rFonts w:cs="Arial"/>
                <w:sz w:val="16"/>
                <w:szCs w:val="16"/>
              </w:rPr>
              <w:t>bldg</w:t>
            </w:r>
            <w:proofErr w:type="spellEnd"/>
            <w:r w:rsidRPr="00BC22B4">
              <w:rPr>
                <w:rFonts w:cs="Arial"/>
                <w:sz w:val="16"/>
                <w:szCs w:val="16"/>
              </w:rPr>
              <w:t xml:space="preserve"> type, activity area</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Large area lighting sensor control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lighting level reduced based on </w:t>
            </w:r>
            <w:proofErr w:type="spellStart"/>
            <w:r w:rsidRPr="00BC22B4">
              <w:rPr>
                <w:rFonts w:cs="Arial"/>
                <w:sz w:val="16"/>
                <w:szCs w:val="16"/>
              </w:rPr>
              <w:t>bldg</w:t>
            </w:r>
            <w:proofErr w:type="spellEnd"/>
            <w:r w:rsidRPr="00BC22B4">
              <w:rPr>
                <w:rFonts w:cs="Arial"/>
                <w:sz w:val="16"/>
                <w:szCs w:val="16"/>
              </w:rPr>
              <w:t xml:space="preserve"> type, activity area</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daylighting controls to side-lit space w/ cont. ctrl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daylighting controls, min. lumen level based on </w:t>
            </w:r>
            <w:proofErr w:type="spellStart"/>
            <w:r w:rsidRPr="00BC22B4">
              <w:rPr>
                <w:rFonts w:cs="Arial"/>
                <w:sz w:val="16"/>
                <w:szCs w:val="16"/>
              </w:rPr>
              <w:t>bldg</w:t>
            </w:r>
            <w:proofErr w:type="spellEnd"/>
            <w:r w:rsidRPr="00BC22B4">
              <w:rPr>
                <w:rFonts w:cs="Arial"/>
                <w:sz w:val="16"/>
                <w:szCs w:val="16"/>
              </w:rPr>
              <w:t xml:space="preserve"> type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daylighting controls to side-lit space w/ 2-step ctrl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daylighting controls, min. lumen level based on </w:t>
            </w:r>
            <w:proofErr w:type="spellStart"/>
            <w:r w:rsidRPr="00BC22B4">
              <w:rPr>
                <w:rFonts w:cs="Arial"/>
                <w:sz w:val="16"/>
                <w:szCs w:val="16"/>
              </w:rPr>
              <w:t>bldg</w:t>
            </w:r>
            <w:proofErr w:type="spellEnd"/>
            <w:r w:rsidRPr="00BC22B4">
              <w:rPr>
                <w:rFonts w:cs="Arial"/>
                <w:sz w:val="16"/>
                <w:szCs w:val="16"/>
              </w:rPr>
              <w:t xml:space="preserve"> type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daylighting controls to top-lit space w/ cont. ctrl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daylighting controls, min. lumen level based on </w:t>
            </w:r>
            <w:proofErr w:type="spellStart"/>
            <w:r w:rsidRPr="00BC22B4">
              <w:rPr>
                <w:rFonts w:cs="Arial"/>
                <w:sz w:val="16"/>
                <w:szCs w:val="16"/>
              </w:rPr>
              <w:t>bldg</w:t>
            </w:r>
            <w:proofErr w:type="spellEnd"/>
            <w:r w:rsidRPr="00BC22B4">
              <w:rPr>
                <w:rFonts w:cs="Arial"/>
                <w:sz w:val="16"/>
                <w:szCs w:val="16"/>
              </w:rPr>
              <w:t xml:space="preserve"> type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daylighting controls to top-lit space w/ 1-step ctrl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daylighting controls, min. lumen level based on </w:t>
            </w:r>
            <w:proofErr w:type="spellStart"/>
            <w:r w:rsidRPr="00BC22B4">
              <w:rPr>
                <w:rFonts w:cs="Arial"/>
                <w:sz w:val="16"/>
                <w:szCs w:val="16"/>
              </w:rPr>
              <w:t>bldg</w:t>
            </w:r>
            <w:proofErr w:type="spellEnd"/>
            <w:r w:rsidRPr="00BC22B4">
              <w:rPr>
                <w:rFonts w:cs="Arial"/>
                <w:sz w:val="16"/>
                <w:szCs w:val="16"/>
              </w:rPr>
              <w:t xml:space="preserve"> type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D03-009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daylighting controls to top-lit space w/ 2-step ctrl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daylighting controls, min. lumen level based on </w:t>
            </w:r>
            <w:proofErr w:type="spellStart"/>
            <w:r w:rsidRPr="00BC22B4">
              <w:rPr>
                <w:rFonts w:cs="Arial"/>
                <w:sz w:val="16"/>
                <w:szCs w:val="16"/>
              </w:rPr>
              <w:t>bldg</w:t>
            </w:r>
            <w:proofErr w:type="spellEnd"/>
            <w:r w:rsidRPr="00BC22B4">
              <w:rPr>
                <w:rFonts w:cs="Arial"/>
                <w:sz w:val="16"/>
                <w:szCs w:val="16"/>
              </w:rPr>
              <w:t xml:space="preserve"> type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EMS system reduced unoccupied lighting levels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minimum unoccupied lighting power density based on </w:t>
            </w:r>
            <w:proofErr w:type="spellStart"/>
            <w:r w:rsidRPr="00BC22B4">
              <w:rPr>
                <w:rFonts w:cs="Arial"/>
                <w:sz w:val="16"/>
                <w:szCs w:val="16"/>
              </w:rPr>
              <w:t>bldg</w:t>
            </w:r>
            <w:proofErr w:type="spellEnd"/>
            <w:r w:rsidRPr="00BC22B4">
              <w:rPr>
                <w:rFonts w:cs="Arial"/>
                <w:sz w:val="16"/>
                <w:szCs w:val="16"/>
              </w:rPr>
              <w:t xml:space="preserve"> type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Modeling method updated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Plug Loads reduced by 5%</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all plug loads reduced by 5%</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Modeling method updated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Plug Loads reduced by 10%</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all plug loads reduced by 10%</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Older building ceiling/roof insulation up to current standards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Ceiling R-value for oldest vintages increased to 'new' level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Insulation added to poorly insulated DHW tanks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Approximately R-12 tank insulation, based on tank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Light Colored Roof</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Roof absorptivity = 0.45</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D03-017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North glass SHGC 15%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North glass SHGC 15%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East glass SHGC 20%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East glass SHGC 20%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D03-019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South glass SHGC 20%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South glass SHGC 20%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West glass SHGC 20%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West glass SHGC 20%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North glass SHGC 20%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North glass SHGC 20%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East glass SHGC 30%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East glass SHGC 30%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South glass SHGC 30%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South glass SHGC 30%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West glass SHGC 30% less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West glass SHGC 30% less than required by T-24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1.15) and </w:t>
            </w:r>
            <w:proofErr w:type="spellStart"/>
            <w:r w:rsidRPr="00BC22B4">
              <w:rPr>
                <w:rFonts w:cs="Arial"/>
                <w:sz w:val="16"/>
                <w:szCs w:val="16"/>
              </w:rPr>
              <w:t>cont</w:t>
            </w:r>
            <w:proofErr w:type="spellEnd"/>
            <w:r w:rsidRPr="00BC22B4">
              <w:rPr>
                <w:rFonts w:cs="Arial"/>
                <w:sz w:val="16"/>
                <w:szCs w:val="16"/>
              </w:rPr>
              <w:t xml:space="preserve">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side-lit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glass w/ indicated performance index in </w:t>
            </w:r>
            <w:proofErr w:type="spellStart"/>
            <w:r w:rsidRPr="00BC22B4">
              <w:rPr>
                <w:rFonts w:cs="Arial"/>
                <w:sz w:val="16"/>
                <w:szCs w:val="16"/>
              </w:rPr>
              <w:t>daylit</w:t>
            </w:r>
            <w:proofErr w:type="spellEnd"/>
            <w:r w:rsidRPr="00BC22B4">
              <w:rPr>
                <w:rFonts w:cs="Arial"/>
                <w:sz w:val="16"/>
                <w:szCs w:val="16"/>
              </w:rPr>
              <w:t xml:space="preserve"> spaces, cont.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1.26) and </w:t>
            </w:r>
            <w:proofErr w:type="spellStart"/>
            <w:r w:rsidRPr="00BC22B4">
              <w:rPr>
                <w:rFonts w:cs="Arial"/>
                <w:sz w:val="16"/>
                <w:szCs w:val="16"/>
              </w:rPr>
              <w:t>cont</w:t>
            </w:r>
            <w:proofErr w:type="spellEnd"/>
            <w:r w:rsidRPr="00BC22B4">
              <w:rPr>
                <w:rFonts w:cs="Arial"/>
                <w:sz w:val="16"/>
                <w:szCs w:val="16"/>
              </w:rPr>
              <w:t xml:space="preserve">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side-lit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glass w/ indicated performance index in </w:t>
            </w:r>
            <w:proofErr w:type="spellStart"/>
            <w:r w:rsidRPr="00BC22B4">
              <w:rPr>
                <w:rFonts w:cs="Arial"/>
                <w:sz w:val="16"/>
                <w:szCs w:val="16"/>
              </w:rPr>
              <w:t>daylit</w:t>
            </w:r>
            <w:proofErr w:type="spellEnd"/>
            <w:r w:rsidRPr="00BC22B4">
              <w:rPr>
                <w:rFonts w:cs="Arial"/>
                <w:sz w:val="16"/>
                <w:szCs w:val="16"/>
              </w:rPr>
              <w:t xml:space="preserve"> spaces, cont.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1.38) and </w:t>
            </w:r>
            <w:proofErr w:type="spellStart"/>
            <w:r w:rsidRPr="00BC22B4">
              <w:rPr>
                <w:rFonts w:cs="Arial"/>
                <w:sz w:val="16"/>
                <w:szCs w:val="16"/>
              </w:rPr>
              <w:t>cont</w:t>
            </w:r>
            <w:proofErr w:type="spellEnd"/>
            <w:r w:rsidRPr="00BC22B4">
              <w:rPr>
                <w:rFonts w:cs="Arial"/>
                <w:sz w:val="16"/>
                <w:szCs w:val="16"/>
              </w:rPr>
              <w:t xml:space="preserve">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side-lit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glass w/ indicated performance index in </w:t>
            </w:r>
            <w:proofErr w:type="spellStart"/>
            <w:r w:rsidRPr="00BC22B4">
              <w:rPr>
                <w:rFonts w:cs="Arial"/>
                <w:sz w:val="16"/>
                <w:szCs w:val="16"/>
              </w:rPr>
              <w:t>daylit</w:t>
            </w:r>
            <w:proofErr w:type="spellEnd"/>
            <w:r w:rsidRPr="00BC22B4">
              <w:rPr>
                <w:rFonts w:cs="Arial"/>
                <w:sz w:val="16"/>
                <w:szCs w:val="16"/>
              </w:rPr>
              <w:t xml:space="preserve"> spaces, cont.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1.15) and 2-step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side-lit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glass w/ indicated performance index in </w:t>
            </w:r>
            <w:proofErr w:type="spellStart"/>
            <w:r w:rsidRPr="00BC22B4">
              <w:rPr>
                <w:rFonts w:cs="Arial"/>
                <w:sz w:val="16"/>
                <w:szCs w:val="16"/>
              </w:rPr>
              <w:t>daylit</w:t>
            </w:r>
            <w:proofErr w:type="spellEnd"/>
            <w:r w:rsidRPr="00BC22B4">
              <w:rPr>
                <w:rFonts w:cs="Arial"/>
                <w:sz w:val="16"/>
                <w:szCs w:val="16"/>
              </w:rPr>
              <w:t xml:space="preserve"> spaces, 2-step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D03-029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1.26) and 2-step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side-lit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glass w/ indicated performance index in </w:t>
            </w:r>
            <w:proofErr w:type="spellStart"/>
            <w:r w:rsidRPr="00BC22B4">
              <w:rPr>
                <w:rFonts w:cs="Arial"/>
                <w:sz w:val="16"/>
                <w:szCs w:val="16"/>
              </w:rPr>
              <w:t>daylit</w:t>
            </w:r>
            <w:proofErr w:type="spellEnd"/>
            <w:r w:rsidRPr="00BC22B4">
              <w:rPr>
                <w:rFonts w:cs="Arial"/>
                <w:sz w:val="16"/>
                <w:szCs w:val="16"/>
              </w:rPr>
              <w:t xml:space="preserve"> spaces, 2-step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1.38) and 2-step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side-lit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glass w/ indicated performance index in </w:t>
            </w:r>
            <w:proofErr w:type="spellStart"/>
            <w:r w:rsidRPr="00BC22B4">
              <w:rPr>
                <w:rFonts w:cs="Arial"/>
                <w:sz w:val="16"/>
                <w:szCs w:val="16"/>
              </w:rPr>
              <w:t>daylit</w:t>
            </w:r>
            <w:proofErr w:type="spellEnd"/>
            <w:r w:rsidRPr="00BC22B4">
              <w:rPr>
                <w:rFonts w:cs="Arial"/>
                <w:sz w:val="16"/>
                <w:szCs w:val="16"/>
              </w:rPr>
              <w:t xml:space="preserve"> spaces, 2-step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0.81) and </w:t>
            </w:r>
            <w:proofErr w:type="spellStart"/>
            <w:r w:rsidRPr="00BC22B4">
              <w:rPr>
                <w:rFonts w:cs="Arial"/>
                <w:sz w:val="16"/>
                <w:szCs w:val="16"/>
              </w:rPr>
              <w:t>cont</w:t>
            </w:r>
            <w:proofErr w:type="spellEnd"/>
            <w:r w:rsidRPr="00BC22B4">
              <w:rPr>
                <w:rFonts w:cs="Arial"/>
                <w:sz w:val="16"/>
                <w:szCs w:val="16"/>
              </w:rPr>
              <w:t xml:space="preserve">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cont.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0.92) and </w:t>
            </w:r>
            <w:proofErr w:type="spellStart"/>
            <w:r w:rsidRPr="00BC22B4">
              <w:rPr>
                <w:rFonts w:cs="Arial"/>
                <w:sz w:val="16"/>
                <w:szCs w:val="16"/>
              </w:rPr>
              <w:t>cont</w:t>
            </w:r>
            <w:proofErr w:type="spellEnd"/>
            <w:r w:rsidRPr="00BC22B4">
              <w:rPr>
                <w:rFonts w:cs="Arial"/>
                <w:sz w:val="16"/>
                <w:szCs w:val="16"/>
              </w:rPr>
              <w:t xml:space="preserve">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cont.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1.03) and </w:t>
            </w:r>
            <w:proofErr w:type="spellStart"/>
            <w:r w:rsidRPr="00BC22B4">
              <w:rPr>
                <w:rFonts w:cs="Arial"/>
                <w:sz w:val="16"/>
                <w:szCs w:val="16"/>
              </w:rPr>
              <w:t>cont</w:t>
            </w:r>
            <w:proofErr w:type="spellEnd"/>
            <w:r w:rsidRPr="00BC22B4">
              <w:rPr>
                <w:rFonts w:cs="Arial"/>
                <w:sz w:val="16"/>
                <w:szCs w:val="16"/>
              </w:rPr>
              <w:t xml:space="preserve">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cont.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w:t>
            </w:r>
            <w:r w:rsidRPr="00BC22B4">
              <w:rPr>
                <w:rFonts w:cs="Arial"/>
                <w:sz w:val="16"/>
                <w:szCs w:val="16"/>
              </w:rPr>
              <w:lastRenderedPageBreak/>
              <w:t>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0.81) and 1-step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w:t>
            </w:r>
            <w:r w:rsidRPr="00BC22B4">
              <w:rPr>
                <w:rFonts w:cs="Arial"/>
                <w:sz w:val="16"/>
                <w:szCs w:val="16"/>
              </w:rPr>
              <w:lastRenderedPageBreak/>
              <w:t>spaces, 1-step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D03-035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0.92) and 1-step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1-step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1.03) and 1-step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1-step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0.81) and 2-step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2-step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0.92) and 2-step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2-step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D03-039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w:t>
            </w:r>
            <w:proofErr w:type="spellStart"/>
            <w:r w:rsidRPr="00BC22B4">
              <w:rPr>
                <w:rFonts w:cs="Arial"/>
                <w:sz w:val="16"/>
                <w:szCs w:val="16"/>
              </w:rPr>
              <w:t>perf</w:t>
            </w:r>
            <w:proofErr w:type="spellEnd"/>
            <w:r w:rsidRPr="00BC22B4">
              <w:rPr>
                <w:rFonts w:cs="Arial"/>
                <w:sz w:val="16"/>
                <w:szCs w:val="16"/>
              </w:rPr>
              <w:t xml:space="preserve"> glass (PI 1.03) and 2-step </w:t>
            </w:r>
            <w:proofErr w:type="spellStart"/>
            <w:r w:rsidRPr="00BC22B4">
              <w:rPr>
                <w:rFonts w:cs="Arial"/>
                <w:sz w:val="16"/>
                <w:szCs w:val="16"/>
              </w:rPr>
              <w:t>dayltg</w:t>
            </w:r>
            <w:proofErr w:type="spellEnd"/>
            <w:r w:rsidRPr="00BC22B4">
              <w:rPr>
                <w:rFonts w:cs="Arial"/>
                <w:sz w:val="16"/>
                <w:szCs w:val="16"/>
              </w:rPr>
              <w:t xml:space="preserve"> </w:t>
            </w:r>
            <w:proofErr w:type="spellStart"/>
            <w:r w:rsidRPr="00BC22B4">
              <w:rPr>
                <w:rFonts w:cs="Arial"/>
                <w:sz w:val="16"/>
                <w:szCs w:val="16"/>
              </w:rPr>
              <w:t>ctrls</w:t>
            </w:r>
            <w:proofErr w:type="spellEnd"/>
            <w:r w:rsidRPr="00BC22B4">
              <w:rPr>
                <w:rFonts w:cs="Arial"/>
                <w:sz w:val="16"/>
                <w:szCs w:val="16"/>
              </w:rPr>
              <w:t xml:space="preserve"> in top-lit spaces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skylight w/ indicated performance index &amp; T24 </w:t>
            </w:r>
            <w:proofErr w:type="spellStart"/>
            <w:r w:rsidRPr="00BC22B4">
              <w:rPr>
                <w:rFonts w:cs="Arial"/>
                <w:sz w:val="16"/>
                <w:szCs w:val="16"/>
              </w:rPr>
              <w:t>reqmts</w:t>
            </w:r>
            <w:proofErr w:type="spellEnd"/>
            <w:r w:rsidRPr="00BC22B4">
              <w:rPr>
                <w:rFonts w:cs="Arial"/>
                <w:sz w:val="16"/>
                <w:szCs w:val="16"/>
              </w:rPr>
              <w:t xml:space="preserve"> in </w:t>
            </w:r>
            <w:proofErr w:type="spellStart"/>
            <w:r w:rsidRPr="00BC22B4">
              <w:rPr>
                <w:rFonts w:cs="Arial"/>
                <w:sz w:val="16"/>
                <w:szCs w:val="16"/>
              </w:rPr>
              <w:t>daylit</w:t>
            </w:r>
            <w:proofErr w:type="spellEnd"/>
            <w:r w:rsidRPr="00BC22B4">
              <w:rPr>
                <w:rFonts w:cs="Arial"/>
                <w:sz w:val="16"/>
                <w:szCs w:val="16"/>
              </w:rPr>
              <w:t xml:space="preserve"> spaces, 2-step ctrl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Centrifugal chillers (&lt; 150 tons)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centrifugal chiller (0.560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Reciprocating air-cooled chillers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Air cooled package reciprocating chiller (1.008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VSD Centrifugal Chiller (&lt; 150 tons) w/Load control tower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VSD centrifugal chiller (0.560 kW/ton), load control tower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Gas Absorption Central Chiller (direct fired)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Gas absorption chiller (direct fired) (0.0071 EIR, 1.0 HIR)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Chilled Water Loop temperature control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Chilled water loop temperature set to 'Load Reset'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Hot Water Loop temperature control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Hot water loop temperature set to 'Load Reset'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Replace 3-way valves in CHW loop with 2-way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2-way valves, with single speed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Variable speed drive for chilled water loop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add variable speed pump to chilled water loop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Replace 3-way valves in HW loop with 2-way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2-way valves, with single speed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D03-049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Variable speed drive for hot water loop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add variable speed pump to hot water loop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VAV box retrofit on constant volume system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damper controlled VAV with 30% min-cfm-ratio</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Variable Frequency Drive motors use on VAV fans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VFD with 30% min-cfm-ratio</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D03-052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Convert VAVS system to PIU system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Convert VAVS </w:t>
            </w:r>
            <w:proofErr w:type="spellStart"/>
            <w:r w:rsidRPr="00BC22B4">
              <w:rPr>
                <w:rFonts w:cs="Arial"/>
                <w:sz w:val="16"/>
                <w:szCs w:val="16"/>
              </w:rPr>
              <w:t>sytem</w:t>
            </w:r>
            <w:proofErr w:type="spellEnd"/>
            <w:r w:rsidRPr="00BC22B4">
              <w:rPr>
                <w:rFonts w:cs="Arial"/>
                <w:sz w:val="16"/>
                <w:szCs w:val="16"/>
              </w:rPr>
              <w:t xml:space="preserve"> to PIU system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Make-up Air Indirect Evaporative cooling</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indirect </w:t>
            </w:r>
            <w:proofErr w:type="spellStart"/>
            <w:r w:rsidRPr="00BC22B4">
              <w:rPr>
                <w:rFonts w:cs="Arial"/>
                <w:sz w:val="16"/>
                <w:szCs w:val="16"/>
              </w:rPr>
              <w:t>evap</w:t>
            </w:r>
            <w:proofErr w:type="spellEnd"/>
            <w:r w:rsidRPr="00BC22B4">
              <w:rPr>
                <w:rFonts w:cs="Arial"/>
                <w:sz w:val="16"/>
                <w:szCs w:val="16"/>
              </w:rPr>
              <w:t xml:space="preserve"> cooling for make-up air only, 65% effectiveness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Make-up Air Indirect Evaporative cooling</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indirect </w:t>
            </w:r>
            <w:proofErr w:type="spellStart"/>
            <w:r w:rsidRPr="00BC22B4">
              <w:rPr>
                <w:rFonts w:cs="Arial"/>
                <w:sz w:val="16"/>
                <w:szCs w:val="16"/>
              </w:rPr>
              <w:t>evap</w:t>
            </w:r>
            <w:proofErr w:type="spellEnd"/>
            <w:r w:rsidRPr="00BC22B4">
              <w:rPr>
                <w:rFonts w:cs="Arial"/>
                <w:sz w:val="16"/>
                <w:szCs w:val="16"/>
              </w:rPr>
              <w:t xml:space="preserve"> cooling for make-up air only, 65% effectiveness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Base ventilation rate 25% higher than required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standard ventilation rate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heat recovery from exhaust hoods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70% heat recovery effectiveness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rotary air-to-air enthalpy heat recovery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70% sensible and latent recovery effectiveness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Packaged system Economizer retrofit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w:t>
            </w:r>
            <w:proofErr w:type="spellStart"/>
            <w:r w:rsidRPr="00BC22B4">
              <w:rPr>
                <w:rFonts w:cs="Arial"/>
                <w:sz w:val="16"/>
                <w:szCs w:val="16"/>
              </w:rPr>
              <w:t>econo</w:t>
            </w:r>
            <w:proofErr w:type="spellEnd"/>
            <w:r w:rsidRPr="00BC22B4">
              <w:rPr>
                <w:rFonts w:cs="Arial"/>
                <w:sz w:val="16"/>
                <w:szCs w:val="16"/>
              </w:rPr>
              <w:t xml:space="preserve"> with </w:t>
            </w:r>
            <w:proofErr w:type="spellStart"/>
            <w:r w:rsidRPr="00BC22B4">
              <w:rPr>
                <w:rFonts w:cs="Arial"/>
                <w:sz w:val="16"/>
                <w:szCs w:val="16"/>
              </w:rPr>
              <w:t>Econo</w:t>
            </w:r>
            <w:proofErr w:type="spellEnd"/>
            <w:r w:rsidRPr="00BC22B4">
              <w:rPr>
                <w:rFonts w:cs="Arial"/>
                <w:sz w:val="16"/>
                <w:szCs w:val="16"/>
              </w:rPr>
              <w:t>-Lockout=NO, DB limit = 68, Max OSA = 100%</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D03-059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Central HVAC system Economizer retrofit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w:t>
            </w:r>
            <w:proofErr w:type="spellStart"/>
            <w:r w:rsidRPr="00BC22B4">
              <w:rPr>
                <w:rFonts w:cs="Arial"/>
                <w:sz w:val="16"/>
                <w:szCs w:val="16"/>
              </w:rPr>
              <w:t>ecomizer</w:t>
            </w:r>
            <w:proofErr w:type="spellEnd"/>
            <w:r w:rsidRPr="00BC22B4">
              <w:rPr>
                <w:rFonts w:cs="Arial"/>
                <w:sz w:val="16"/>
                <w:szCs w:val="16"/>
              </w:rPr>
              <w:t xml:space="preserve"> with </w:t>
            </w:r>
            <w:proofErr w:type="spellStart"/>
            <w:r w:rsidRPr="00BC22B4">
              <w:rPr>
                <w:rFonts w:cs="Arial"/>
                <w:sz w:val="16"/>
                <w:szCs w:val="16"/>
              </w:rPr>
              <w:t>Econo</w:t>
            </w:r>
            <w:proofErr w:type="spellEnd"/>
            <w:r w:rsidRPr="00BC22B4">
              <w:rPr>
                <w:rFonts w:cs="Arial"/>
                <w:sz w:val="16"/>
                <w:szCs w:val="16"/>
              </w:rPr>
              <w:t>-Lockout=NO, DB limit = 68, Max OSA = 100%</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Restore degraded economizer performance</w:t>
            </w:r>
          </w:p>
        </w:tc>
        <w:tc>
          <w:tcPr>
            <w:tcW w:w="4590"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ecomizer</w:t>
            </w:r>
            <w:proofErr w:type="spellEnd"/>
            <w:r w:rsidRPr="00BC22B4">
              <w:rPr>
                <w:rFonts w:cs="Arial"/>
                <w:sz w:val="16"/>
                <w:szCs w:val="16"/>
              </w:rPr>
              <w:t xml:space="preserve"> with </w:t>
            </w:r>
            <w:proofErr w:type="spellStart"/>
            <w:r w:rsidRPr="00BC22B4">
              <w:rPr>
                <w:rFonts w:cs="Arial"/>
                <w:sz w:val="16"/>
                <w:szCs w:val="16"/>
              </w:rPr>
              <w:t>Econo</w:t>
            </w:r>
            <w:proofErr w:type="spellEnd"/>
            <w:r w:rsidRPr="00BC22B4">
              <w:rPr>
                <w:rFonts w:cs="Arial"/>
                <w:sz w:val="16"/>
                <w:szCs w:val="16"/>
              </w:rPr>
              <w:t>-Lockout=NO, DB limit = 68, Max OSA = 100%</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Dirty Air-cooled condenser coils are cleaned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standard equipment efficiency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Convert Air-Cooled Condenser to Water-Cooled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packaged system with water cooled condenser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Two-Speed Tower Fans replace Single-Speed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Two-speed tower fans on all central plants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Variable-Speed Tower Fans replace Two-Speed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Variable-speed tower fans on all central plants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efficiency gas furnace replace </w:t>
            </w:r>
            <w:proofErr w:type="spellStart"/>
            <w:r w:rsidRPr="00BC22B4">
              <w:rPr>
                <w:rFonts w:cs="Arial"/>
                <w:sz w:val="16"/>
                <w:szCs w:val="16"/>
              </w:rPr>
              <w:t>std</w:t>
            </w:r>
            <w:proofErr w:type="spellEnd"/>
            <w:r w:rsidRPr="00BC22B4">
              <w:rPr>
                <w:rFonts w:cs="Arial"/>
                <w:sz w:val="16"/>
                <w:szCs w:val="16"/>
              </w:rPr>
              <w:t xml:space="preserve"> efficiency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packaged system with 94 AFUE furnace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efficiency Large boiler (&gt;300 </w:t>
            </w:r>
            <w:proofErr w:type="spellStart"/>
            <w:r w:rsidRPr="00BC22B4">
              <w:rPr>
                <w:rFonts w:cs="Arial"/>
                <w:sz w:val="16"/>
                <w:szCs w:val="16"/>
              </w:rPr>
              <w:t>kBTU</w:t>
            </w:r>
            <w:proofErr w:type="spellEnd"/>
            <w:r w:rsidRPr="00BC22B4">
              <w:rPr>
                <w:rFonts w:cs="Arial"/>
                <w:sz w:val="16"/>
                <w:szCs w:val="16"/>
              </w:rPr>
              <w:t>/</w:t>
            </w:r>
            <w:proofErr w:type="spellStart"/>
            <w:r w:rsidRPr="00BC22B4">
              <w:rPr>
                <w:rFonts w:cs="Arial"/>
                <w:sz w:val="16"/>
                <w:szCs w:val="16"/>
              </w:rPr>
              <w:t>hr</w:t>
            </w:r>
            <w:proofErr w:type="spellEnd"/>
            <w:r w:rsidRPr="00BC22B4">
              <w:rPr>
                <w:rFonts w:cs="Arial"/>
                <w:sz w:val="16"/>
                <w:szCs w:val="16"/>
              </w:rPr>
              <w: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Central boiler with efficiency of 85%</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efficiency Small boiler (&lt;300 </w:t>
            </w:r>
            <w:proofErr w:type="spellStart"/>
            <w:r w:rsidRPr="00BC22B4">
              <w:rPr>
                <w:rFonts w:cs="Arial"/>
                <w:sz w:val="16"/>
                <w:szCs w:val="16"/>
              </w:rPr>
              <w:t>kBTU</w:t>
            </w:r>
            <w:proofErr w:type="spellEnd"/>
            <w:r w:rsidRPr="00BC22B4">
              <w:rPr>
                <w:rFonts w:cs="Arial"/>
                <w:sz w:val="16"/>
                <w:szCs w:val="16"/>
              </w:rPr>
              <w:t>/</w:t>
            </w:r>
            <w:proofErr w:type="spellStart"/>
            <w:r w:rsidRPr="00BC22B4">
              <w:rPr>
                <w:rFonts w:cs="Arial"/>
                <w:sz w:val="16"/>
                <w:szCs w:val="16"/>
              </w:rPr>
              <w:t>hr</w:t>
            </w:r>
            <w:proofErr w:type="spellEnd"/>
            <w:r w:rsidRPr="00BC22B4">
              <w:rPr>
                <w:rFonts w:cs="Arial"/>
                <w:sz w:val="16"/>
                <w:szCs w:val="16"/>
              </w:rPr>
              <w: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Central boiler with efficiency of 84.5%</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efficiency Steam boiler (&lt;300 </w:t>
            </w:r>
            <w:proofErr w:type="spellStart"/>
            <w:r w:rsidRPr="00BC22B4">
              <w:rPr>
                <w:rFonts w:cs="Arial"/>
                <w:sz w:val="16"/>
                <w:szCs w:val="16"/>
              </w:rPr>
              <w:t>kBTU</w:t>
            </w:r>
            <w:proofErr w:type="spellEnd"/>
            <w:r w:rsidRPr="00BC22B4">
              <w:rPr>
                <w:rFonts w:cs="Arial"/>
                <w:sz w:val="16"/>
                <w:szCs w:val="16"/>
              </w:rPr>
              <w:t>/</w:t>
            </w:r>
            <w:proofErr w:type="spellStart"/>
            <w:r w:rsidRPr="00BC22B4">
              <w:rPr>
                <w:rFonts w:cs="Arial"/>
                <w:sz w:val="16"/>
                <w:szCs w:val="16"/>
              </w:rPr>
              <w:t>hr</w:t>
            </w:r>
            <w:proofErr w:type="spellEnd"/>
            <w:r w:rsidRPr="00BC22B4">
              <w:rPr>
                <w:rFonts w:cs="Arial"/>
                <w:sz w:val="16"/>
                <w:szCs w:val="16"/>
              </w:rPr>
              <w: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Central steam boiler with efficiency of 84%</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D03-069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w:t>
            </w:r>
            <w:r w:rsidRPr="00BC22B4">
              <w:rPr>
                <w:rFonts w:cs="Arial"/>
                <w:sz w:val="16"/>
                <w:szCs w:val="16"/>
              </w:rPr>
              <w:lastRenderedPageBreak/>
              <w:t>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WLHP system for Large Office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WLHP system with 14.0 EER / 4.6 COP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D03-070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Variable flow hydronic water loop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2-way valves, with VSD pumping</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time clocks control packaged system operation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Supply fan operation matches building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Suite of EMS measures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CHW &amp; HW reset, reduced nighttime lighting levels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Install programmable thermostats in older </w:t>
            </w:r>
            <w:proofErr w:type="spellStart"/>
            <w:r w:rsidRPr="00BC22B4">
              <w:rPr>
                <w:rFonts w:cs="Arial"/>
                <w:sz w:val="16"/>
                <w:szCs w:val="16"/>
              </w:rPr>
              <w:t>bldgs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unoccupied period has heating setback/cooling setup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Increased duct insulation in older vintages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Old vintage increases duct insulation to R-4.2, 78-91 vintage to R-8</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split system A/C (&lt; 65k, single phase)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SEER (12.15 EER) Split-System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split system HP (&lt; 65k, single phase)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SEER (12.19 EER) / 8.6 HSPF (3.52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A/C (&lt; 65k, single phase)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SEER (12.15 EER)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D03-079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A/C (65-134k)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11 EER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(&lt; 65k, single phase)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SEER (12.19 EER) / 8.6 HSPF (3.52 COP) 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(65-134k)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11 EER / 3.4 COP Split/Package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 packaged system with </w:t>
            </w:r>
            <w:proofErr w:type="spellStart"/>
            <w:r w:rsidRPr="00BC22B4">
              <w:rPr>
                <w:rFonts w:cs="Arial"/>
                <w:sz w:val="16"/>
                <w:szCs w:val="16"/>
              </w:rPr>
              <w:t>evap</w:t>
            </w:r>
            <w:proofErr w:type="spellEnd"/>
            <w:r w:rsidRPr="00BC22B4">
              <w:rPr>
                <w:rFonts w:cs="Arial"/>
                <w:sz w:val="16"/>
                <w:szCs w:val="16"/>
              </w:rPr>
              <w:t xml:space="preserve"> cooled </w:t>
            </w:r>
            <w:proofErr w:type="spellStart"/>
            <w:r w:rsidRPr="00BC22B4">
              <w:rPr>
                <w:rFonts w:cs="Arial"/>
                <w:sz w:val="16"/>
                <w:szCs w:val="16"/>
              </w:rPr>
              <w:t>cond</w:t>
            </w:r>
            <w:proofErr w:type="spellEnd"/>
            <w:r w:rsidRPr="00BC22B4">
              <w:rPr>
                <w:rFonts w:cs="Arial"/>
                <w:sz w:val="16"/>
                <w:szCs w:val="16"/>
              </w:rPr>
              <w:t xml:space="preserve"> (&lt; 65k)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EER Water-Cooled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 packaged system with </w:t>
            </w:r>
            <w:proofErr w:type="spellStart"/>
            <w:r w:rsidRPr="00BC22B4">
              <w:rPr>
                <w:rFonts w:cs="Arial"/>
                <w:sz w:val="16"/>
                <w:szCs w:val="16"/>
              </w:rPr>
              <w:t>evap</w:t>
            </w:r>
            <w:proofErr w:type="spellEnd"/>
            <w:r w:rsidRPr="00BC22B4">
              <w:rPr>
                <w:rFonts w:cs="Arial"/>
                <w:sz w:val="16"/>
                <w:szCs w:val="16"/>
              </w:rPr>
              <w:t xml:space="preserve"> cooled </w:t>
            </w:r>
            <w:proofErr w:type="spellStart"/>
            <w:r w:rsidRPr="00BC22B4">
              <w:rPr>
                <w:rFonts w:cs="Arial"/>
                <w:sz w:val="16"/>
                <w:szCs w:val="16"/>
              </w:rPr>
              <w:t>cond</w:t>
            </w:r>
            <w:proofErr w:type="spellEnd"/>
            <w:r w:rsidRPr="00BC22B4">
              <w:rPr>
                <w:rFonts w:cs="Arial"/>
                <w:sz w:val="16"/>
                <w:szCs w:val="16"/>
              </w:rPr>
              <w:t xml:space="preserve"> (&gt;= 65k)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EER Water-Cooled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terminal air-conditioner (&lt; 7k)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11.29 EER (based on vintage) package terminal A/C</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terminal heat pump (&lt; 7k)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11.17 EER / 3.3 COP (based on vintage) package terminal HP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removed older vintages</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of better motors used for application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premium motor efficiency based on typical motor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removed older vintages</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of better motors used for application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premium motor efficiency based on typical motor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D03-088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removed older vintages</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of better motors used for application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premium motor efficiency based on typical motor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D03-089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removed older vintages</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of better motors used for application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premium motor efficiency based on typical motor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D03-090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removed older vintages</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of better motors used for application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premium motor efficiency based on typical motor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D03-091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removed older vintages</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of better motors used for application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premium motor efficiency based on typical motor size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D03-094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tankless</w:t>
            </w:r>
            <w:proofErr w:type="spellEnd"/>
            <w:r w:rsidRPr="00BC22B4">
              <w:rPr>
                <w:rFonts w:cs="Arial"/>
                <w:sz w:val="16"/>
                <w:szCs w:val="16"/>
              </w:rPr>
              <w:t xml:space="preserve"> electric hot water system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zero tank loss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D03-095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DHW circulation pump </w:t>
            </w:r>
            <w:proofErr w:type="spellStart"/>
            <w:r w:rsidRPr="00BC22B4">
              <w:rPr>
                <w:rFonts w:cs="Arial"/>
                <w:sz w:val="16"/>
                <w:szCs w:val="16"/>
              </w:rPr>
              <w:t>contolled</w:t>
            </w:r>
            <w:proofErr w:type="spellEnd"/>
            <w:r w:rsidRPr="00BC22B4">
              <w:rPr>
                <w:rFonts w:cs="Arial"/>
                <w:sz w:val="16"/>
                <w:szCs w:val="16"/>
              </w:rPr>
              <w:t xml:space="preserve"> by </w:t>
            </w:r>
            <w:proofErr w:type="spellStart"/>
            <w:r w:rsidRPr="00BC22B4">
              <w:rPr>
                <w:rFonts w:cs="Arial"/>
                <w:sz w:val="16"/>
                <w:szCs w:val="16"/>
              </w:rPr>
              <w:t>timeclock</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DHW circulation pump turns off during low operation hours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D03-098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water economizer heat exchanger to CW Loop</w:t>
            </w:r>
          </w:p>
        </w:tc>
        <w:tc>
          <w:tcPr>
            <w:tcW w:w="4590"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Non integrated</w:t>
            </w:r>
            <w:proofErr w:type="spellEnd"/>
            <w:r w:rsidRPr="00BC22B4">
              <w:rPr>
                <w:rFonts w:cs="Arial"/>
                <w:sz w:val="16"/>
                <w:szCs w:val="16"/>
              </w:rPr>
              <w:t xml:space="preserve"> evaporator </w:t>
            </w:r>
            <w:proofErr w:type="spellStart"/>
            <w:r w:rsidRPr="00BC22B4">
              <w:rPr>
                <w:rFonts w:cs="Arial"/>
                <w:sz w:val="16"/>
                <w:szCs w:val="16"/>
              </w:rPr>
              <w:t>precooler</w:t>
            </w:r>
            <w:proofErr w:type="spellEnd"/>
            <w:r w:rsidRPr="00BC22B4">
              <w:rPr>
                <w:rFonts w:cs="Arial"/>
                <w:sz w:val="16"/>
                <w:szCs w:val="16"/>
              </w:rPr>
              <w:t xml:space="preserve"> heat exchanger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D03-099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terminal air-conditioner (7-15k)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10.27 EER (based on vintage) package terminal A/C</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terminal air-conditioner (&gt; 15k)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9.25 EER (based on vintage) package terminal A/C</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terminal heat pump (7-15k)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10.15 EER / 3.1 COP (based on vintage) package terminal HP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terminal heat pump (&gt; 15k)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9.13 EER / 3.0 COP (based on vintage) package terminal HP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A/C (135-239k)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10.8 EER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A/C (240-759k)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10.0 EER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A/C (&gt;= 760k)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10.0 EER Package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(135-239k)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10.8 EER / 3.4 COP 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(240-759k)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10.0 EER / 3.4 COP 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split system A/C (&lt; 65k, 3 phase before 2008)</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12 SEER three phase split-system A/C</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D03-109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w:t>
            </w:r>
            <w:r w:rsidRPr="00BC22B4">
              <w:rPr>
                <w:rFonts w:cs="Arial"/>
                <w:sz w:val="16"/>
                <w:szCs w:val="16"/>
              </w:rPr>
              <w:lastRenderedPageBreak/>
              <w:t>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lastRenderedPageBreak/>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High eff. packaged unitary system A/C (&lt; 65k, 12 SEER, 3 phase </w:t>
            </w:r>
            <w:r w:rsidRPr="00BC22B4">
              <w:rPr>
                <w:rFonts w:cs="Arial"/>
                <w:sz w:val="16"/>
                <w:szCs w:val="16"/>
              </w:rPr>
              <w:lastRenderedPageBreak/>
              <w:t>before 2008)</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lastRenderedPageBreak/>
              <w:t>12 SEER three phase package A/C</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D03-110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Not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A/C (&lt; 65k, 13 SEER, 3 phase before 2008)</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SEER three phase package A/C</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split system HP (&lt; 65k, 3 phase before 2008)</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12 SEER / 7.4 HSPF three phase split-system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(&lt; 65k, 12 SEER, 3 phase before 2008)</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12 SEER / 7.4 HSPF three phase 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(&lt; 65k, 13 SEER, 3 phase before 2008)</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SEER / 7.7 HSPF three phase 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Air-cooled screw chiller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Air cooled screw chiller (1.008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Reciprocating water-cooled chillers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reciprocating chiller (0.672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Centrifugal chillers (150-299 tons)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centrifugal chiller (0.507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Centrifugal chillers (&gt;= 300 tons)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centrifugal chiller (0.461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Water-cooled screw chiller (&lt; 150 tons)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screw chiller (0.632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D03-119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Water-cooled screw chiller (150-299 tons)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screw chiller (0.574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D03-120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Water-cooled screw chiller (&gt;= 300 tons) with improved kw/ton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screw chiller (0.511 kW/ton)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D03-121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VSD Centrifugal Chiller (150-299 tons) w/Load control tower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VSD centrifugal chiller (0.507 kW/ton), load control tower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D03-122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VSD Centrifugal Chiller (&gt;= 300 tons) w/Load control tower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Water cooled VSD centrifugal chiller (0.461 kW/ton), load control tower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D03-123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Floor insulation raised to 2005 levels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Floor insulation raised to 2005 levels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D03-124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packaged unitary system HP (&gt;= 760k)</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9.7 EER / 3.3 COP Package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Air-cooled multiplex system w/extensive refrigeration equipment maintenance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Normal </w:t>
            </w:r>
            <w:proofErr w:type="spellStart"/>
            <w:r w:rsidRPr="00BC22B4">
              <w:rPr>
                <w:rFonts w:cs="Arial"/>
                <w:sz w:val="16"/>
                <w:szCs w:val="16"/>
              </w:rPr>
              <w:t>setpoints</w:t>
            </w:r>
            <w:proofErr w:type="spellEnd"/>
            <w:r w:rsidRPr="00BC22B4">
              <w:rPr>
                <w:rFonts w:cs="Arial"/>
                <w:sz w:val="16"/>
                <w:szCs w:val="16"/>
              </w:rPr>
              <w:t>, representing tighter control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Substitute high efficiency motors for standard efficiency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Utilizes a PSC motor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D03-203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Substitute high efficiency motors for standard efficiency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Utilizes an EC motor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Adds an 85°F holdback valve, active only when needed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Heat reclaim with SCT controlled to 85°F via holdback valve when heat is needed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Cover open MT cases between 1-5 a.m.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Night cover reduces infiltration by 50% for 4 hours/night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Retrofit glass doors on open MT cases; additional lighting</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fixture is retrofitted with doors and additional lighting</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Replace open MT case with new case with doors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Replace open fixtures with fixtures having doors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Install automatic door closer on walk-in cooler doors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Applies a multiplier of 60% to the base-case infiltration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D03-209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Install automatic door closer on walk-in freezer doors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Applies a multiplier of 60% to the base-case infiltration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Cycle fan off with thermostat; duty cycle occasionally when off</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Evaporator fan cycles w/ thermostat; when off cycles on </w:t>
            </w:r>
            <w:proofErr w:type="spellStart"/>
            <w:r w:rsidRPr="00BC22B4">
              <w:rPr>
                <w:rFonts w:cs="Arial"/>
                <w:sz w:val="16"/>
                <w:szCs w:val="16"/>
              </w:rPr>
              <w:t>peridoically</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Replace multiplex air-cooled condenser with evaporative condenser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Evaporative condenser of T24 efficiency, 2-speed fan, 80°SCT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Upgrade from 53 Btu/Watt @ 10°F TD to 85 Btu/Watt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Same capacity condenser, sized at 10°F TD, and efficiency of 85 Btu/Watt, 80°F SCT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Reduce design SCT by ~5°F and improve efficiency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Same capacity condenser but ~5°F lower SCT, 200 Btu/Watt, 80°F SCT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Replace single-compressor system with </w:t>
            </w:r>
            <w:proofErr w:type="spellStart"/>
            <w:r w:rsidRPr="00BC22B4">
              <w:rPr>
                <w:rFonts w:cs="Arial"/>
                <w:sz w:val="16"/>
                <w:szCs w:val="16"/>
              </w:rPr>
              <w:t>subcooled</w:t>
            </w:r>
            <w:proofErr w:type="spellEnd"/>
            <w:r w:rsidRPr="00BC22B4">
              <w:rPr>
                <w:rFonts w:cs="Arial"/>
                <w:sz w:val="16"/>
                <w:szCs w:val="16"/>
              </w:rPr>
              <w:t xml:space="preserve"> multiplex</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Multiplex system, air-cooled, </w:t>
            </w:r>
            <w:proofErr w:type="spellStart"/>
            <w:r w:rsidRPr="00BC22B4">
              <w:rPr>
                <w:rFonts w:cs="Arial"/>
                <w:sz w:val="16"/>
                <w:szCs w:val="16"/>
              </w:rPr>
              <w:t>subcooler</w:t>
            </w:r>
            <w:proofErr w:type="spellEnd"/>
            <w:r w:rsidRPr="00BC22B4">
              <w:rPr>
                <w:rFonts w:cs="Arial"/>
                <w:sz w:val="16"/>
                <w:szCs w:val="16"/>
              </w:rPr>
              <w:t xml:space="preserve"> on both LT &amp; MT circuits, floating head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Replace single-compressor system with </w:t>
            </w:r>
            <w:proofErr w:type="spellStart"/>
            <w:r w:rsidRPr="00BC22B4">
              <w:rPr>
                <w:rFonts w:cs="Arial"/>
                <w:sz w:val="16"/>
                <w:szCs w:val="16"/>
              </w:rPr>
              <w:t>subcooled</w:t>
            </w:r>
            <w:proofErr w:type="spellEnd"/>
            <w:r w:rsidRPr="00BC22B4">
              <w:rPr>
                <w:rFonts w:cs="Arial"/>
                <w:sz w:val="16"/>
                <w:szCs w:val="16"/>
              </w:rPr>
              <w:t xml:space="preserve"> multiplex</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Multiplex system, </w:t>
            </w:r>
            <w:proofErr w:type="spellStart"/>
            <w:r w:rsidRPr="00BC22B4">
              <w:rPr>
                <w:rFonts w:cs="Arial"/>
                <w:sz w:val="16"/>
                <w:szCs w:val="16"/>
              </w:rPr>
              <w:t>evap</w:t>
            </w:r>
            <w:proofErr w:type="spellEnd"/>
            <w:r w:rsidRPr="00BC22B4">
              <w:rPr>
                <w:rFonts w:cs="Arial"/>
                <w:sz w:val="16"/>
                <w:szCs w:val="16"/>
              </w:rPr>
              <w:t xml:space="preserve">-cooled, </w:t>
            </w:r>
            <w:proofErr w:type="spellStart"/>
            <w:r w:rsidRPr="00BC22B4">
              <w:rPr>
                <w:rFonts w:cs="Arial"/>
                <w:sz w:val="16"/>
                <w:szCs w:val="16"/>
              </w:rPr>
              <w:t>subcooler</w:t>
            </w:r>
            <w:proofErr w:type="spellEnd"/>
            <w:r w:rsidRPr="00BC22B4">
              <w:rPr>
                <w:rFonts w:cs="Arial"/>
                <w:sz w:val="16"/>
                <w:szCs w:val="16"/>
              </w:rPr>
              <w:t xml:space="preserve"> on both LT &amp; MT circuits, floating head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Replace single-compressor system with </w:t>
            </w:r>
            <w:proofErr w:type="spellStart"/>
            <w:r w:rsidRPr="00BC22B4">
              <w:rPr>
                <w:rFonts w:cs="Arial"/>
                <w:sz w:val="16"/>
                <w:szCs w:val="16"/>
              </w:rPr>
              <w:t>subcooled</w:t>
            </w:r>
            <w:proofErr w:type="spellEnd"/>
            <w:r w:rsidRPr="00BC22B4">
              <w:rPr>
                <w:rFonts w:cs="Arial"/>
                <w:sz w:val="16"/>
                <w:szCs w:val="16"/>
              </w:rPr>
              <w:t xml:space="preserve"> multiplex (high efficiency)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Multiplex system, hi-</w:t>
            </w:r>
            <w:proofErr w:type="spellStart"/>
            <w:r w:rsidRPr="00BC22B4">
              <w:rPr>
                <w:rFonts w:cs="Arial"/>
                <w:sz w:val="16"/>
                <w:szCs w:val="16"/>
              </w:rPr>
              <w:t>eff</w:t>
            </w:r>
            <w:proofErr w:type="spellEnd"/>
            <w:r w:rsidRPr="00BC22B4">
              <w:rPr>
                <w:rFonts w:cs="Arial"/>
                <w:sz w:val="16"/>
                <w:szCs w:val="16"/>
              </w:rPr>
              <w:t xml:space="preserve"> air-cooled, </w:t>
            </w:r>
            <w:proofErr w:type="spellStart"/>
            <w:r w:rsidRPr="00BC22B4">
              <w:rPr>
                <w:rFonts w:cs="Arial"/>
                <w:sz w:val="16"/>
                <w:szCs w:val="16"/>
              </w:rPr>
              <w:t>subcooler</w:t>
            </w:r>
            <w:proofErr w:type="spellEnd"/>
            <w:r w:rsidRPr="00BC22B4">
              <w:rPr>
                <w:rFonts w:cs="Arial"/>
                <w:sz w:val="16"/>
                <w:szCs w:val="16"/>
              </w:rPr>
              <w:t xml:space="preserve"> on both LT and MT circuits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Replace single-compressor system with </w:t>
            </w:r>
            <w:proofErr w:type="spellStart"/>
            <w:r w:rsidRPr="00BC22B4">
              <w:rPr>
                <w:rFonts w:cs="Arial"/>
                <w:sz w:val="16"/>
                <w:szCs w:val="16"/>
              </w:rPr>
              <w:t>subcooled</w:t>
            </w:r>
            <w:proofErr w:type="spellEnd"/>
            <w:r w:rsidRPr="00BC22B4">
              <w:rPr>
                <w:rFonts w:cs="Arial"/>
                <w:sz w:val="16"/>
                <w:szCs w:val="16"/>
              </w:rPr>
              <w:t xml:space="preserve"> multiplex (high efficiency)</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Multiplex system, hi-</w:t>
            </w:r>
            <w:proofErr w:type="spellStart"/>
            <w:r w:rsidRPr="00BC22B4">
              <w:rPr>
                <w:rFonts w:cs="Arial"/>
                <w:sz w:val="16"/>
                <w:szCs w:val="16"/>
              </w:rPr>
              <w:t>eff</w:t>
            </w:r>
            <w:proofErr w:type="spellEnd"/>
            <w:r w:rsidRPr="00BC22B4">
              <w:rPr>
                <w:rFonts w:cs="Arial"/>
                <w:sz w:val="16"/>
                <w:szCs w:val="16"/>
              </w:rPr>
              <w:t xml:space="preserve"> </w:t>
            </w:r>
            <w:proofErr w:type="spellStart"/>
            <w:r w:rsidRPr="00BC22B4">
              <w:rPr>
                <w:rFonts w:cs="Arial"/>
                <w:sz w:val="16"/>
                <w:szCs w:val="16"/>
              </w:rPr>
              <w:t>evap</w:t>
            </w:r>
            <w:proofErr w:type="spellEnd"/>
            <w:r w:rsidRPr="00BC22B4">
              <w:rPr>
                <w:rFonts w:cs="Arial"/>
                <w:sz w:val="16"/>
                <w:szCs w:val="16"/>
              </w:rPr>
              <w:t xml:space="preserve">-cooled, </w:t>
            </w:r>
            <w:proofErr w:type="spellStart"/>
            <w:r w:rsidRPr="00BC22B4">
              <w:rPr>
                <w:rFonts w:cs="Arial"/>
                <w:sz w:val="16"/>
                <w:szCs w:val="16"/>
              </w:rPr>
              <w:t>subcooler</w:t>
            </w:r>
            <w:proofErr w:type="spellEnd"/>
            <w:r w:rsidRPr="00BC22B4">
              <w:rPr>
                <w:rFonts w:cs="Arial"/>
                <w:sz w:val="16"/>
                <w:szCs w:val="16"/>
              </w:rPr>
              <w:t xml:space="preserve"> on both LT and MT circuits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Addition of a LT </w:t>
            </w:r>
            <w:proofErr w:type="spellStart"/>
            <w:r w:rsidRPr="00BC22B4">
              <w:rPr>
                <w:rFonts w:cs="Arial"/>
                <w:sz w:val="16"/>
                <w:szCs w:val="16"/>
              </w:rPr>
              <w:t>subcooler</w:t>
            </w:r>
            <w:proofErr w:type="spellEnd"/>
            <w:r w:rsidRPr="00BC22B4">
              <w:rPr>
                <w:rFonts w:cs="Arial"/>
                <w:sz w:val="16"/>
                <w:szCs w:val="16"/>
              </w:rPr>
              <w:t xml:space="preserve"> to an air-cooled multiplex</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Low-temp </w:t>
            </w:r>
            <w:proofErr w:type="spellStart"/>
            <w:r w:rsidRPr="00BC22B4">
              <w:rPr>
                <w:rFonts w:cs="Arial"/>
                <w:sz w:val="16"/>
                <w:szCs w:val="16"/>
              </w:rPr>
              <w:t>subcooler</w:t>
            </w:r>
            <w:proofErr w:type="spellEnd"/>
            <w:r w:rsidRPr="00BC22B4">
              <w:rPr>
                <w:rFonts w:cs="Arial"/>
                <w:sz w:val="16"/>
                <w:szCs w:val="16"/>
              </w:rPr>
              <w:t xml:space="preserve"> (50°F) powered by medium-temp suction group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D03-219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Addition of LT and MT </w:t>
            </w:r>
            <w:proofErr w:type="spellStart"/>
            <w:r w:rsidRPr="00BC22B4">
              <w:rPr>
                <w:rFonts w:cs="Arial"/>
                <w:sz w:val="16"/>
                <w:szCs w:val="16"/>
              </w:rPr>
              <w:t>subcoolers</w:t>
            </w:r>
            <w:proofErr w:type="spellEnd"/>
            <w:r w:rsidRPr="00BC22B4">
              <w:rPr>
                <w:rFonts w:cs="Arial"/>
                <w:sz w:val="16"/>
                <w:szCs w:val="16"/>
              </w:rPr>
              <w:t xml:space="preserve"> to an air-cooled multiplex</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Low- and medium-temp </w:t>
            </w:r>
            <w:proofErr w:type="spellStart"/>
            <w:r w:rsidRPr="00BC22B4">
              <w:rPr>
                <w:rFonts w:cs="Arial"/>
                <w:sz w:val="16"/>
                <w:szCs w:val="16"/>
              </w:rPr>
              <w:t>subcoolers</w:t>
            </w:r>
            <w:proofErr w:type="spellEnd"/>
            <w:r w:rsidRPr="00BC22B4">
              <w:rPr>
                <w:rFonts w:cs="Arial"/>
                <w:sz w:val="16"/>
                <w:szCs w:val="16"/>
              </w:rPr>
              <w:t xml:space="preserve"> powered by a new high-temp suction group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w:t>
            </w:r>
            <w:r w:rsidRPr="00BC22B4">
              <w:rPr>
                <w:rFonts w:cs="Arial"/>
                <w:sz w:val="16"/>
                <w:szCs w:val="16"/>
              </w:rPr>
              <w:lastRenderedPageBreak/>
              <w:t>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Floating SST control on LT and MT suction groups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SST </w:t>
            </w:r>
            <w:proofErr w:type="spellStart"/>
            <w:r w:rsidRPr="00BC22B4">
              <w:rPr>
                <w:rFonts w:cs="Arial"/>
                <w:sz w:val="16"/>
                <w:szCs w:val="16"/>
              </w:rPr>
              <w:t>setpoint</w:t>
            </w:r>
            <w:proofErr w:type="spellEnd"/>
            <w:r w:rsidRPr="00BC22B4">
              <w:rPr>
                <w:rFonts w:cs="Arial"/>
                <w:sz w:val="16"/>
                <w:szCs w:val="16"/>
              </w:rPr>
              <w:t xml:space="preserve"> reset based on worst-case demand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D03-221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Floating SCT controlled to 70°F</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SCT controlled to 70°F</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Floating SCT controlled to 70°F</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SCT controlled to 70°F</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Ambient following SCT </w:t>
            </w:r>
            <w:proofErr w:type="spellStart"/>
            <w:r w:rsidRPr="00BC22B4">
              <w:rPr>
                <w:rFonts w:cs="Arial"/>
                <w:sz w:val="16"/>
                <w:szCs w:val="16"/>
              </w:rPr>
              <w:t>setpoint</w:t>
            </w:r>
            <w:proofErr w:type="spellEnd"/>
            <w:r w:rsidRPr="00BC22B4">
              <w:rPr>
                <w:rFonts w:cs="Arial"/>
                <w:sz w:val="16"/>
                <w:szCs w:val="16"/>
              </w:rPr>
              <w:t>, 70°F minimum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Control SCT to ambient + 12°F TD, 70°F min, </w:t>
            </w:r>
            <w:proofErr w:type="spellStart"/>
            <w:r w:rsidRPr="00BC22B4">
              <w:rPr>
                <w:rFonts w:cs="Arial"/>
                <w:sz w:val="16"/>
                <w:szCs w:val="16"/>
              </w:rPr>
              <w:t>backflood</w:t>
            </w:r>
            <w:proofErr w:type="spellEnd"/>
            <w:r w:rsidRPr="00BC22B4">
              <w:rPr>
                <w:rFonts w:cs="Arial"/>
                <w:sz w:val="16"/>
                <w:szCs w:val="16"/>
              </w:rPr>
              <w:t xml:space="preserve"> </w:t>
            </w:r>
            <w:proofErr w:type="spellStart"/>
            <w:r w:rsidRPr="00BC22B4">
              <w:rPr>
                <w:rFonts w:cs="Arial"/>
                <w:sz w:val="16"/>
                <w:szCs w:val="16"/>
              </w:rPr>
              <w:t>setpoint</w:t>
            </w:r>
            <w:proofErr w:type="spellEnd"/>
            <w:r w:rsidRPr="00BC22B4">
              <w:rPr>
                <w:rFonts w:cs="Arial"/>
                <w:sz w:val="16"/>
                <w:szCs w:val="16"/>
              </w:rPr>
              <w:t xml:space="preserve"> of 68°F</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Wetbulb</w:t>
            </w:r>
            <w:proofErr w:type="spellEnd"/>
            <w:r w:rsidRPr="00BC22B4">
              <w:rPr>
                <w:rFonts w:cs="Arial"/>
                <w:sz w:val="16"/>
                <w:szCs w:val="16"/>
              </w:rPr>
              <w:t xml:space="preserve"> following SCT </w:t>
            </w:r>
            <w:proofErr w:type="spellStart"/>
            <w:r w:rsidRPr="00BC22B4">
              <w:rPr>
                <w:rFonts w:cs="Arial"/>
                <w:sz w:val="16"/>
                <w:szCs w:val="16"/>
              </w:rPr>
              <w:t>setpoint</w:t>
            </w:r>
            <w:proofErr w:type="spellEnd"/>
            <w:r w:rsidRPr="00BC22B4">
              <w:rPr>
                <w:rFonts w:cs="Arial"/>
                <w:sz w:val="16"/>
                <w:szCs w:val="16"/>
              </w:rPr>
              <w:t>, 70°F minimum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Control SCT to </w:t>
            </w:r>
            <w:proofErr w:type="spellStart"/>
            <w:r w:rsidRPr="00BC22B4">
              <w:rPr>
                <w:rFonts w:cs="Arial"/>
                <w:sz w:val="16"/>
                <w:szCs w:val="16"/>
              </w:rPr>
              <w:t>wetbulb</w:t>
            </w:r>
            <w:proofErr w:type="spellEnd"/>
            <w:r w:rsidRPr="00BC22B4">
              <w:rPr>
                <w:rFonts w:cs="Arial"/>
                <w:sz w:val="16"/>
                <w:szCs w:val="16"/>
              </w:rPr>
              <w:t xml:space="preserve"> + 17°F TD, 70°F min, </w:t>
            </w:r>
            <w:proofErr w:type="spellStart"/>
            <w:r w:rsidRPr="00BC22B4">
              <w:rPr>
                <w:rFonts w:cs="Arial"/>
                <w:sz w:val="16"/>
                <w:szCs w:val="16"/>
              </w:rPr>
              <w:t>backflood</w:t>
            </w:r>
            <w:proofErr w:type="spellEnd"/>
            <w:r w:rsidRPr="00BC22B4">
              <w:rPr>
                <w:rFonts w:cs="Arial"/>
                <w:sz w:val="16"/>
                <w:szCs w:val="16"/>
              </w:rPr>
              <w:t xml:space="preserve"> </w:t>
            </w:r>
            <w:proofErr w:type="spellStart"/>
            <w:r w:rsidRPr="00BC22B4">
              <w:rPr>
                <w:rFonts w:cs="Arial"/>
                <w:sz w:val="16"/>
                <w:szCs w:val="16"/>
              </w:rPr>
              <w:t>setpoint</w:t>
            </w:r>
            <w:proofErr w:type="spellEnd"/>
            <w:r w:rsidRPr="00BC22B4">
              <w:rPr>
                <w:rFonts w:cs="Arial"/>
                <w:sz w:val="16"/>
                <w:szCs w:val="16"/>
              </w:rPr>
              <w:t xml:space="preserve"> of 68°F</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Ambient following SCT </w:t>
            </w:r>
            <w:proofErr w:type="spellStart"/>
            <w:r w:rsidRPr="00BC22B4">
              <w:rPr>
                <w:rFonts w:cs="Arial"/>
                <w:sz w:val="16"/>
                <w:szCs w:val="16"/>
              </w:rPr>
              <w:t>setpoint</w:t>
            </w:r>
            <w:proofErr w:type="spellEnd"/>
            <w:r w:rsidRPr="00BC22B4">
              <w:rPr>
                <w:rFonts w:cs="Arial"/>
                <w:sz w:val="16"/>
                <w:szCs w:val="16"/>
              </w:rPr>
              <w:t>, 70°F minimum, variable-</w:t>
            </w:r>
            <w:proofErr w:type="spellStart"/>
            <w:r w:rsidRPr="00BC22B4">
              <w:rPr>
                <w:rFonts w:cs="Arial"/>
                <w:sz w:val="16"/>
                <w:szCs w:val="16"/>
              </w:rPr>
              <w:t>spd</w:t>
            </w:r>
            <w:proofErr w:type="spellEnd"/>
            <w:r w:rsidRPr="00BC22B4">
              <w:rPr>
                <w:rFonts w:cs="Arial"/>
                <w:sz w:val="16"/>
                <w:szCs w:val="16"/>
              </w:rPr>
              <w:t xml:space="preserve"> condenser fan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Control SCT to ambient + 12°F TD, 70°F min, </w:t>
            </w:r>
            <w:proofErr w:type="spellStart"/>
            <w:r w:rsidRPr="00BC22B4">
              <w:rPr>
                <w:rFonts w:cs="Arial"/>
                <w:sz w:val="16"/>
                <w:szCs w:val="16"/>
              </w:rPr>
              <w:t>backflood</w:t>
            </w:r>
            <w:proofErr w:type="spellEnd"/>
            <w:r w:rsidRPr="00BC22B4">
              <w:rPr>
                <w:rFonts w:cs="Arial"/>
                <w:sz w:val="16"/>
                <w:szCs w:val="16"/>
              </w:rPr>
              <w:t xml:space="preserve"> </w:t>
            </w:r>
            <w:proofErr w:type="spellStart"/>
            <w:r w:rsidRPr="00BC22B4">
              <w:rPr>
                <w:rFonts w:cs="Arial"/>
                <w:sz w:val="16"/>
                <w:szCs w:val="16"/>
              </w:rPr>
              <w:t>setpt</w:t>
            </w:r>
            <w:proofErr w:type="spellEnd"/>
            <w:r w:rsidRPr="00BC22B4">
              <w:rPr>
                <w:rFonts w:cs="Arial"/>
                <w:sz w:val="16"/>
                <w:szCs w:val="16"/>
              </w:rPr>
              <w:t xml:space="preserve"> of 68°F, </w:t>
            </w:r>
            <w:proofErr w:type="spellStart"/>
            <w:r w:rsidRPr="00BC22B4">
              <w:rPr>
                <w:rFonts w:cs="Arial"/>
                <w:sz w:val="16"/>
                <w:szCs w:val="16"/>
              </w:rPr>
              <w:t>var-spd</w:t>
            </w:r>
            <w:proofErr w:type="spellEnd"/>
            <w:r w:rsidRPr="00BC22B4">
              <w:rPr>
                <w:rFonts w:cs="Arial"/>
                <w:sz w:val="16"/>
                <w:szCs w:val="16"/>
              </w:rPr>
              <w:t xml:space="preserve"> </w:t>
            </w:r>
            <w:proofErr w:type="spellStart"/>
            <w:r w:rsidRPr="00BC22B4">
              <w:rPr>
                <w:rFonts w:cs="Arial"/>
                <w:sz w:val="16"/>
                <w:szCs w:val="16"/>
              </w:rPr>
              <w:t>cond</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Wetbulb</w:t>
            </w:r>
            <w:proofErr w:type="spellEnd"/>
            <w:r w:rsidRPr="00BC22B4">
              <w:rPr>
                <w:rFonts w:cs="Arial"/>
                <w:sz w:val="16"/>
                <w:szCs w:val="16"/>
              </w:rPr>
              <w:t xml:space="preserve"> following SCT </w:t>
            </w:r>
            <w:proofErr w:type="spellStart"/>
            <w:r w:rsidRPr="00BC22B4">
              <w:rPr>
                <w:rFonts w:cs="Arial"/>
                <w:sz w:val="16"/>
                <w:szCs w:val="16"/>
              </w:rPr>
              <w:t>setpoint</w:t>
            </w:r>
            <w:proofErr w:type="spellEnd"/>
            <w:r w:rsidRPr="00BC22B4">
              <w:rPr>
                <w:rFonts w:cs="Arial"/>
                <w:sz w:val="16"/>
                <w:szCs w:val="16"/>
              </w:rPr>
              <w:t>, 70°F minimum, variable-</w:t>
            </w:r>
            <w:proofErr w:type="spellStart"/>
            <w:r w:rsidRPr="00BC22B4">
              <w:rPr>
                <w:rFonts w:cs="Arial"/>
                <w:sz w:val="16"/>
                <w:szCs w:val="16"/>
              </w:rPr>
              <w:t>spd</w:t>
            </w:r>
            <w:proofErr w:type="spellEnd"/>
            <w:r w:rsidRPr="00BC22B4">
              <w:rPr>
                <w:rFonts w:cs="Arial"/>
                <w:sz w:val="16"/>
                <w:szCs w:val="16"/>
              </w:rPr>
              <w:t xml:space="preserve"> condenser fan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Control SCT to </w:t>
            </w:r>
            <w:proofErr w:type="spellStart"/>
            <w:r w:rsidRPr="00BC22B4">
              <w:rPr>
                <w:rFonts w:cs="Arial"/>
                <w:sz w:val="16"/>
                <w:szCs w:val="16"/>
              </w:rPr>
              <w:t>wetbulb</w:t>
            </w:r>
            <w:proofErr w:type="spellEnd"/>
            <w:r w:rsidRPr="00BC22B4">
              <w:rPr>
                <w:rFonts w:cs="Arial"/>
                <w:sz w:val="16"/>
                <w:szCs w:val="16"/>
              </w:rPr>
              <w:t xml:space="preserve"> + 17°F TD, 70°F min, </w:t>
            </w:r>
            <w:proofErr w:type="spellStart"/>
            <w:r w:rsidRPr="00BC22B4">
              <w:rPr>
                <w:rFonts w:cs="Arial"/>
                <w:sz w:val="16"/>
                <w:szCs w:val="16"/>
              </w:rPr>
              <w:t>backflood</w:t>
            </w:r>
            <w:proofErr w:type="spellEnd"/>
            <w:r w:rsidRPr="00BC22B4">
              <w:rPr>
                <w:rFonts w:cs="Arial"/>
                <w:sz w:val="16"/>
                <w:szCs w:val="16"/>
              </w:rPr>
              <w:t xml:space="preserve"> </w:t>
            </w:r>
            <w:proofErr w:type="spellStart"/>
            <w:r w:rsidRPr="00BC22B4">
              <w:rPr>
                <w:rFonts w:cs="Arial"/>
                <w:sz w:val="16"/>
                <w:szCs w:val="16"/>
              </w:rPr>
              <w:t>setpt</w:t>
            </w:r>
            <w:proofErr w:type="spellEnd"/>
            <w:r w:rsidRPr="00BC22B4">
              <w:rPr>
                <w:rFonts w:cs="Arial"/>
                <w:sz w:val="16"/>
                <w:szCs w:val="16"/>
              </w:rPr>
              <w:t xml:space="preserve"> of 68°F, </w:t>
            </w:r>
            <w:proofErr w:type="spellStart"/>
            <w:r w:rsidRPr="00BC22B4">
              <w:rPr>
                <w:rFonts w:cs="Arial"/>
                <w:sz w:val="16"/>
                <w:szCs w:val="16"/>
              </w:rPr>
              <w:t>var-spd</w:t>
            </w:r>
            <w:proofErr w:type="spellEnd"/>
            <w:r w:rsidRPr="00BC22B4">
              <w:rPr>
                <w:rFonts w:cs="Arial"/>
                <w:sz w:val="16"/>
                <w:szCs w:val="16"/>
              </w:rPr>
              <w:t xml:space="preserve"> </w:t>
            </w:r>
            <w:proofErr w:type="spellStart"/>
            <w:r w:rsidRPr="00BC22B4">
              <w:rPr>
                <w:rFonts w:cs="Arial"/>
                <w:sz w:val="16"/>
                <w:szCs w:val="16"/>
              </w:rPr>
              <w:t>cond</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Turn off fixture lights when store closed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Turn off lights between midnight and 6 a.m.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D03-228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Eliminate anti-sweat heaters from doors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Eliminate door heaters, 54W/door frame heat only, fixed output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Extensive refrigeration equipment maintenance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Normal </w:t>
            </w:r>
            <w:proofErr w:type="spellStart"/>
            <w:r w:rsidRPr="00BC22B4">
              <w:rPr>
                <w:rFonts w:cs="Arial"/>
                <w:sz w:val="16"/>
                <w:szCs w:val="16"/>
              </w:rPr>
              <w:t>setpoints</w:t>
            </w:r>
            <w:proofErr w:type="spellEnd"/>
            <w:r w:rsidRPr="00BC22B4">
              <w:rPr>
                <w:rFonts w:cs="Arial"/>
                <w:sz w:val="16"/>
                <w:szCs w:val="16"/>
              </w:rPr>
              <w:t>, representing tighter control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Size condenser to ~5°F lower TD, 400 Btu/Watt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Condenser sized at ~18°F TD, 400 Btu/watt fan &amp; pump, 80°F SCT </w:t>
            </w:r>
            <w:proofErr w:type="spellStart"/>
            <w:r w:rsidRPr="00BC22B4">
              <w:rPr>
                <w:rFonts w:cs="Arial"/>
                <w:sz w:val="16"/>
                <w:szCs w:val="16"/>
              </w:rPr>
              <w:t>setpoint</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Size condenser to ~5°F lower TD, efficient fans &amp; pump, WB following </w:t>
            </w:r>
            <w:proofErr w:type="spellStart"/>
            <w:r w:rsidRPr="00BC22B4">
              <w:rPr>
                <w:rFonts w:cs="Arial"/>
                <w:sz w:val="16"/>
                <w:szCs w:val="16"/>
              </w:rPr>
              <w:t>setpt</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Condenser sized at ~ 18°F TD, 400 Btu/watt fan &amp; pump, WB-following SCT </w:t>
            </w:r>
            <w:proofErr w:type="spellStart"/>
            <w:r w:rsidRPr="00BC22B4">
              <w:rPr>
                <w:rFonts w:cs="Arial"/>
                <w:sz w:val="16"/>
                <w:szCs w:val="16"/>
              </w:rPr>
              <w:t>setpnt</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Add variable-speed control to one compressor in each suction group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Variable-speed drive to trim one compressor, remainder stage fully loaded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Add mechanical </w:t>
            </w:r>
            <w:proofErr w:type="spellStart"/>
            <w:r w:rsidRPr="00BC22B4">
              <w:rPr>
                <w:rFonts w:cs="Arial"/>
                <w:sz w:val="16"/>
                <w:szCs w:val="16"/>
              </w:rPr>
              <w:t>subcooler</w:t>
            </w:r>
            <w:proofErr w:type="spellEnd"/>
            <w:r w:rsidRPr="00BC22B4">
              <w:rPr>
                <w:rFonts w:cs="Arial"/>
                <w:sz w:val="16"/>
                <w:szCs w:val="16"/>
              </w:rPr>
              <w:t xml:space="preserve"> to LT liquid line, fed by MT system</w:t>
            </w:r>
          </w:p>
        </w:tc>
        <w:tc>
          <w:tcPr>
            <w:tcW w:w="4590"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Subcooler</w:t>
            </w:r>
            <w:proofErr w:type="spellEnd"/>
            <w:r w:rsidRPr="00BC22B4">
              <w:rPr>
                <w:rFonts w:cs="Arial"/>
                <w:sz w:val="16"/>
                <w:szCs w:val="16"/>
              </w:rPr>
              <w:t xml:space="preserve"> on LT liquid circuit, provided by MT circuit, controlled to 50°F</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Floating SST control on LT and MT suction groups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SST </w:t>
            </w:r>
            <w:proofErr w:type="spellStart"/>
            <w:r w:rsidRPr="00BC22B4">
              <w:rPr>
                <w:rFonts w:cs="Arial"/>
                <w:sz w:val="16"/>
                <w:szCs w:val="16"/>
              </w:rPr>
              <w:t>setpoint</w:t>
            </w:r>
            <w:proofErr w:type="spellEnd"/>
            <w:r w:rsidRPr="00BC22B4">
              <w:rPr>
                <w:rFonts w:cs="Arial"/>
                <w:sz w:val="16"/>
                <w:szCs w:val="16"/>
              </w:rPr>
              <w:t xml:space="preserve"> reset based on worst-case demand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Floating SCT controlled to 70°F</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SCT controlled to 70°F, 68°F </w:t>
            </w:r>
            <w:proofErr w:type="spellStart"/>
            <w:r w:rsidRPr="00BC22B4">
              <w:rPr>
                <w:rFonts w:cs="Arial"/>
                <w:sz w:val="16"/>
                <w:szCs w:val="16"/>
              </w:rPr>
              <w:t>backflood</w:t>
            </w:r>
            <w:proofErr w:type="spellEnd"/>
            <w:r w:rsidRPr="00BC22B4">
              <w:rPr>
                <w:rFonts w:cs="Arial"/>
                <w:sz w:val="16"/>
                <w:szCs w:val="16"/>
              </w:rPr>
              <w:t xml:space="preserve"> control </w:t>
            </w:r>
            <w:proofErr w:type="spellStart"/>
            <w:r w:rsidRPr="00BC22B4">
              <w:rPr>
                <w:rFonts w:cs="Arial"/>
                <w:sz w:val="16"/>
                <w:szCs w:val="16"/>
              </w:rPr>
              <w:t>setpoint</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Wetbulb</w:t>
            </w:r>
            <w:proofErr w:type="spellEnd"/>
            <w:r w:rsidRPr="00BC22B4">
              <w:rPr>
                <w:rFonts w:cs="Arial"/>
                <w:sz w:val="16"/>
                <w:szCs w:val="16"/>
              </w:rPr>
              <w:t xml:space="preserve"> following SCT </w:t>
            </w:r>
            <w:proofErr w:type="spellStart"/>
            <w:r w:rsidRPr="00BC22B4">
              <w:rPr>
                <w:rFonts w:cs="Arial"/>
                <w:sz w:val="16"/>
                <w:szCs w:val="16"/>
              </w:rPr>
              <w:t>setpoint</w:t>
            </w:r>
            <w:proofErr w:type="spellEnd"/>
            <w:r w:rsidRPr="00BC22B4">
              <w:rPr>
                <w:rFonts w:cs="Arial"/>
                <w:sz w:val="16"/>
                <w:szCs w:val="16"/>
              </w:rPr>
              <w:t>, 70°F minimum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Control SCT to </w:t>
            </w:r>
            <w:proofErr w:type="spellStart"/>
            <w:r w:rsidRPr="00BC22B4">
              <w:rPr>
                <w:rFonts w:cs="Arial"/>
                <w:sz w:val="16"/>
                <w:szCs w:val="16"/>
              </w:rPr>
              <w:t>wetbulb</w:t>
            </w:r>
            <w:proofErr w:type="spellEnd"/>
            <w:r w:rsidRPr="00BC22B4">
              <w:rPr>
                <w:rFonts w:cs="Arial"/>
                <w:sz w:val="16"/>
                <w:szCs w:val="16"/>
              </w:rPr>
              <w:t xml:space="preserve"> + 9°F TD, 70°F minimum, </w:t>
            </w:r>
            <w:proofErr w:type="spellStart"/>
            <w:r w:rsidRPr="00BC22B4">
              <w:rPr>
                <w:rFonts w:cs="Arial"/>
                <w:sz w:val="16"/>
                <w:szCs w:val="16"/>
              </w:rPr>
              <w:t>backflood</w:t>
            </w:r>
            <w:proofErr w:type="spellEnd"/>
            <w:r w:rsidRPr="00BC22B4">
              <w:rPr>
                <w:rFonts w:cs="Arial"/>
                <w:sz w:val="16"/>
                <w:szCs w:val="16"/>
              </w:rPr>
              <w:t xml:space="preserve"> </w:t>
            </w:r>
            <w:proofErr w:type="spellStart"/>
            <w:r w:rsidRPr="00BC22B4">
              <w:rPr>
                <w:rFonts w:cs="Arial"/>
                <w:sz w:val="16"/>
                <w:szCs w:val="16"/>
              </w:rPr>
              <w:t>setpoint</w:t>
            </w:r>
            <w:proofErr w:type="spellEnd"/>
            <w:r w:rsidRPr="00BC22B4">
              <w:rPr>
                <w:rFonts w:cs="Arial"/>
                <w:sz w:val="16"/>
                <w:szCs w:val="16"/>
              </w:rPr>
              <w:t xml:space="preserve"> of 68°F</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D03-309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Wetbulb</w:t>
            </w:r>
            <w:proofErr w:type="spellEnd"/>
            <w:r w:rsidRPr="00BC22B4">
              <w:rPr>
                <w:rFonts w:cs="Arial"/>
                <w:sz w:val="16"/>
                <w:szCs w:val="16"/>
              </w:rPr>
              <w:t xml:space="preserve"> following SCT </w:t>
            </w:r>
            <w:proofErr w:type="spellStart"/>
            <w:r w:rsidRPr="00BC22B4">
              <w:rPr>
                <w:rFonts w:cs="Arial"/>
                <w:sz w:val="16"/>
                <w:szCs w:val="16"/>
              </w:rPr>
              <w:t>setpoint</w:t>
            </w:r>
            <w:proofErr w:type="spellEnd"/>
            <w:r w:rsidRPr="00BC22B4">
              <w:rPr>
                <w:rFonts w:cs="Arial"/>
                <w:sz w:val="16"/>
                <w:szCs w:val="16"/>
              </w:rPr>
              <w:t>, 70°F min, variable-</w:t>
            </w:r>
            <w:proofErr w:type="spellStart"/>
            <w:r w:rsidRPr="00BC22B4">
              <w:rPr>
                <w:rFonts w:cs="Arial"/>
                <w:sz w:val="16"/>
                <w:szCs w:val="16"/>
              </w:rPr>
              <w:t>spd</w:t>
            </w:r>
            <w:proofErr w:type="spellEnd"/>
            <w:r w:rsidRPr="00BC22B4">
              <w:rPr>
                <w:rFonts w:cs="Arial"/>
                <w:sz w:val="16"/>
                <w:szCs w:val="16"/>
              </w:rPr>
              <w:t xml:space="preserve"> condenser fan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Control SCT to </w:t>
            </w:r>
            <w:proofErr w:type="spellStart"/>
            <w:r w:rsidRPr="00BC22B4">
              <w:rPr>
                <w:rFonts w:cs="Arial"/>
                <w:sz w:val="16"/>
                <w:szCs w:val="16"/>
              </w:rPr>
              <w:t>wetbulb</w:t>
            </w:r>
            <w:proofErr w:type="spellEnd"/>
            <w:r w:rsidRPr="00BC22B4">
              <w:rPr>
                <w:rFonts w:cs="Arial"/>
                <w:sz w:val="16"/>
                <w:szCs w:val="16"/>
              </w:rPr>
              <w:t xml:space="preserve"> + 9°F TD, 70°F min, </w:t>
            </w:r>
            <w:proofErr w:type="spellStart"/>
            <w:r w:rsidRPr="00BC22B4">
              <w:rPr>
                <w:rFonts w:cs="Arial"/>
                <w:sz w:val="16"/>
                <w:szCs w:val="16"/>
              </w:rPr>
              <w:t>backflood</w:t>
            </w:r>
            <w:proofErr w:type="spellEnd"/>
            <w:r w:rsidRPr="00BC22B4">
              <w:rPr>
                <w:rFonts w:cs="Arial"/>
                <w:sz w:val="16"/>
                <w:szCs w:val="16"/>
              </w:rPr>
              <w:t xml:space="preserve"> </w:t>
            </w:r>
            <w:proofErr w:type="spellStart"/>
            <w:r w:rsidRPr="00BC22B4">
              <w:rPr>
                <w:rFonts w:cs="Arial"/>
                <w:sz w:val="16"/>
                <w:szCs w:val="16"/>
              </w:rPr>
              <w:t>setpt</w:t>
            </w:r>
            <w:proofErr w:type="spellEnd"/>
            <w:r w:rsidRPr="00BC22B4">
              <w:rPr>
                <w:rFonts w:cs="Arial"/>
                <w:sz w:val="16"/>
                <w:szCs w:val="16"/>
              </w:rPr>
              <w:t xml:space="preserve"> of 68°F, </w:t>
            </w:r>
            <w:proofErr w:type="spellStart"/>
            <w:r w:rsidRPr="00BC22B4">
              <w:rPr>
                <w:rFonts w:cs="Arial"/>
                <w:sz w:val="16"/>
                <w:szCs w:val="16"/>
              </w:rPr>
              <w:t>var-spd</w:t>
            </w:r>
            <w:proofErr w:type="spellEnd"/>
            <w:r w:rsidRPr="00BC22B4">
              <w:rPr>
                <w:rFonts w:cs="Arial"/>
                <w:sz w:val="16"/>
                <w:szCs w:val="16"/>
              </w:rPr>
              <w:t xml:space="preserve"> </w:t>
            </w:r>
            <w:proofErr w:type="spellStart"/>
            <w:r w:rsidRPr="00BC22B4">
              <w:rPr>
                <w:rFonts w:cs="Arial"/>
                <w:sz w:val="16"/>
                <w:szCs w:val="16"/>
              </w:rPr>
              <w:t>cond</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D03-401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Programmable Thermostat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Programmable Thermostat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13 SEER (11.09 EER) Split System Air Conditioner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SEER (11.09 EER) Split 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14 SEER (11.99 EER) Split-System Air Conditioner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SEER (11.99 EER) Split-System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15 SEER (12.72 EER) Split-System Air Conditioner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15 SEER (12.72 EER) Split-System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Direct Evaporative Cooler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Direct Evaporative Cooler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Indirect Evaporative Cooler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Indirect Evaporative Cooler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Direct-Indirect Evaporative Cooler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Direct-Indirect Evaporative Cooler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Typical Refrigerant Charge Adjustment (&lt; ±20% rated charge)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Standard Cooling Performance (proper refrigerant charge)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D03-409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Refrigerant Charge Adjustment (&gt;= ±20% rated charge)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Standard Cooling Performance (proper refrigerant charge)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90 AFUE (1.11 HIR) Furnace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90 AFUE (1.11 HIR) Furnace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92 AFUE (1.08 HIR) Furnace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92 AFUE (1.08 HIR) Furnace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94 AFUE (1.06 HIR) Furnace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94 AFUE (1.06 HIR) Furnace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96 AFUE (1.03 HIR) Furnace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Condensing 96 AFUE (1.03 HIR) Furnace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13 SEER (11.07 EER) / 8.1 HSPF (3.28 COP) A/C Heat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SEER (11.07 EER) / 8.1 HSPF (3.28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14 SEER (12.19 EER) / 8.6 HSPF (3.52 COP) A/C Heat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SEER (12.19 EER) / 8.6 HSPF (3.52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15 SEER (12.70 EER) / 8.8 HSPF (3.74 COP) A/C Heat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15 SEER (12.70 EER) / 8.8 HSPF (3.74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18 SEER (12.8 EER) / 9.2 HSPF (3.66 COP) A/C Heat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SEER (12.88 EER) / 8.5 HSPF (3.32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D03-418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Duct Sealing (Total Leakage Reduced from 40% of AHU flow to 12%)</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Duct Sealing (Total Leakage Reduced from 40% of AHU flow to 12%)</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Ceiling R-0 to R-30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Ceiling R-0 to R-30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Ceiling R-0 to R-38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Ceiling R-0 to R-38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Ceiling Vintage to R-30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Ceiling Vintage to R-30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Ceiling Vintage to R-38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Ceiling Vintage to R-38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Ceiling Vintage to R-49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Ceiling Vintage to R-49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Floor R-0 to R-19 Insulation </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Floor R-0 to R-19 Insulation </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Floor R-0 to R-30 Insulation </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Floor R-0 to R-30 Insulation </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D03-428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Floor R-19 to R-30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Floor R-19 to R-30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D03-429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Wall 2x4 R-15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Wall 2x4 R-15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Wall 2x6 R-19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Wall 2x6 R-19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Wall 2x6 R-21 Insulation-</w:t>
            </w:r>
            <w:proofErr w:type="spellStart"/>
            <w:r w:rsidRPr="00BC22B4">
              <w:rPr>
                <w:rFonts w:cs="Arial"/>
                <w:sz w:val="16"/>
                <w:szCs w:val="16"/>
              </w:rPr>
              <w:t>Batts</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Wall 2x6 R-21 Insulation-</w:t>
            </w:r>
            <w:proofErr w:type="spellStart"/>
            <w:r w:rsidRPr="00BC22B4">
              <w:rPr>
                <w:rFonts w:cs="Arial"/>
                <w:sz w:val="16"/>
                <w:szCs w:val="16"/>
              </w:rPr>
              <w:t>Batts</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Wall 2x4 R-13 </w:t>
            </w:r>
            <w:proofErr w:type="spellStart"/>
            <w:r w:rsidRPr="00BC22B4">
              <w:rPr>
                <w:rFonts w:cs="Arial"/>
                <w:sz w:val="16"/>
                <w:szCs w:val="16"/>
              </w:rPr>
              <w:t>Batts</w:t>
            </w:r>
            <w:proofErr w:type="spellEnd"/>
            <w:r w:rsidRPr="00BC22B4">
              <w:rPr>
                <w:rFonts w:cs="Arial"/>
                <w:sz w:val="16"/>
                <w:szCs w:val="16"/>
              </w:rPr>
              <w:t xml:space="preserve"> + R-5 Rigid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Wall 2x4 R-13 </w:t>
            </w:r>
            <w:proofErr w:type="spellStart"/>
            <w:r w:rsidRPr="00BC22B4">
              <w:rPr>
                <w:rFonts w:cs="Arial"/>
                <w:sz w:val="16"/>
                <w:szCs w:val="16"/>
              </w:rPr>
              <w:t>Batts</w:t>
            </w:r>
            <w:proofErr w:type="spellEnd"/>
            <w:r w:rsidRPr="00BC22B4">
              <w:rPr>
                <w:rFonts w:cs="Arial"/>
                <w:sz w:val="16"/>
                <w:szCs w:val="16"/>
              </w:rPr>
              <w:t xml:space="preserve"> + R-5 Rigid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Wall 2x6 R-19 </w:t>
            </w:r>
            <w:proofErr w:type="spellStart"/>
            <w:r w:rsidRPr="00BC22B4">
              <w:rPr>
                <w:rFonts w:cs="Arial"/>
                <w:sz w:val="16"/>
                <w:szCs w:val="16"/>
              </w:rPr>
              <w:t>Batts</w:t>
            </w:r>
            <w:proofErr w:type="spellEnd"/>
            <w:r w:rsidRPr="00BC22B4">
              <w:rPr>
                <w:rFonts w:cs="Arial"/>
                <w:sz w:val="16"/>
                <w:szCs w:val="16"/>
              </w:rPr>
              <w:t xml:space="preserve"> + R-5 Rigid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Wall 2x6 R-19 </w:t>
            </w:r>
            <w:proofErr w:type="spellStart"/>
            <w:r w:rsidRPr="00BC22B4">
              <w:rPr>
                <w:rFonts w:cs="Arial"/>
                <w:sz w:val="16"/>
                <w:szCs w:val="16"/>
              </w:rPr>
              <w:t>Batts</w:t>
            </w:r>
            <w:proofErr w:type="spellEnd"/>
            <w:r w:rsidRPr="00BC22B4">
              <w:rPr>
                <w:rFonts w:cs="Arial"/>
                <w:sz w:val="16"/>
                <w:szCs w:val="16"/>
              </w:rPr>
              <w:t xml:space="preserve"> + R-5 Rigid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Wall 2x6 R-21 </w:t>
            </w:r>
            <w:proofErr w:type="spellStart"/>
            <w:r w:rsidRPr="00BC22B4">
              <w:rPr>
                <w:rFonts w:cs="Arial"/>
                <w:sz w:val="16"/>
                <w:szCs w:val="16"/>
              </w:rPr>
              <w:t>Batts</w:t>
            </w:r>
            <w:proofErr w:type="spellEnd"/>
            <w:r w:rsidRPr="00BC22B4">
              <w:rPr>
                <w:rFonts w:cs="Arial"/>
                <w:sz w:val="16"/>
                <w:szCs w:val="16"/>
              </w:rPr>
              <w:t xml:space="preserve"> + R-5 Rigid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Wall 2x6 R-21 </w:t>
            </w:r>
            <w:proofErr w:type="spellStart"/>
            <w:r w:rsidRPr="00BC22B4">
              <w:rPr>
                <w:rFonts w:cs="Arial"/>
                <w:sz w:val="16"/>
                <w:szCs w:val="16"/>
              </w:rPr>
              <w:t>Batts</w:t>
            </w:r>
            <w:proofErr w:type="spellEnd"/>
            <w:r w:rsidRPr="00BC22B4">
              <w:rPr>
                <w:rFonts w:cs="Arial"/>
                <w:sz w:val="16"/>
                <w:szCs w:val="16"/>
              </w:rPr>
              <w:t xml:space="preserve"> + R-5 Rigid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Wall Blow-In R-0 to R-13 Insulation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Wall Blow-In R-0 to R-13 Insulation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D03-439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Low-Income Weatherization w/out Evaporative Cooler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Infiltration of 0.35 Air Changes per 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Low-Income Weatherization w/ Evaporative Cooler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Direct </w:t>
            </w:r>
            <w:proofErr w:type="spellStart"/>
            <w:r w:rsidRPr="00BC22B4">
              <w:rPr>
                <w:rFonts w:cs="Arial"/>
                <w:sz w:val="16"/>
                <w:szCs w:val="16"/>
              </w:rPr>
              <w:t>Evap</w:t>
            </w:r>
            <w:proofErr w:type="spellEnd"/>
            <w:r w:rsidRPr="00BC22B4">
              <w:rPr>
                <w:rFonts w:cs="Arial"/>
                <w:sz w:val="16"/>
                <w:szCs w:val="16"/>
              </w:rPr>
              <w:t xml:space="preserve"> Cooling with Infiltration of 0.35 Air Changes per 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TRUE</w:t>
            </w:r>
          </w:p>
        </w:tc>
        <w:tc>
          <w:tcPr>
            <w:tcW w:w="2092" w:type="dxa"/>
            <w:noWrap/>
            <w:hideMark/>
          </w:tcPr>
          <w:p w:rsidR="006C3507" w:rsidRPr="00BC22B4" w:rsidRDefault="006C3507" w:rsidP="00BC22B4">
            <w:pPr>
              <w:spacing w:before="80" w:after="80"/>
              <w:jc w:val="center"/>
              <w:rPr>
                <w:rFonts w:cs="Arial"/>
                <w:color w:val="A5A5A5"/>
                <w:sz w:val="16"/>
                <w:szCs w:val="16"/>
              </w:rPr>
            </w:pP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Whole House Fans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Whole House Fans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Default Window With Sunscreen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Default Window With Sunscreen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Single Pane Clear Glass With Reflective Film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Single Pane Clear Glass With Reflective Film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Single Pane Clear Glass With Spectrally Selective Film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Single Pane Clear Glass With Spectrally Selective Film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Single Pane Clear Glass With Standard Film</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Single Pane Clear Glass With Standard Film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U-0.50 / SHGC-0.65 (clear)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U-0.50 / SHGC-0.65 (clear)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U-0.40 / SHGC-0.65 (clear)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U-0.40 / SHGC-0.65 (clear)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U-0.35 / SHGC-0.55 (clear)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U-0.35 / SHGC-0.55 (clear)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D03-449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U-0.25 / SHGC-0.35 (clear)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U-0.25 / SHGC-0.35 (clear)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D03-450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U-0.50 / SHGC-0.40 (tint)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U-0.50 / SHGC-0.40 (tint)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D03-451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U-0.40 / SHGC-0.40 (tint)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U-0.40 / SHGC-0.40 (tint)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D03-452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U-0.35 / SHGC-0.32 (tint)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U-0.35 / SHGC-0.32 (tint)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D03-453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requires update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U-0.25 / SHGC-0.22 (tint) Window</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U-0.25 / SHGC-0.22 (tint) Window</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D03-458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Duct Sealing (Total Leakage Reduced from 24% of AHU flow to 12%)</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Duct Sealing (Total Leakage Reduced from 24% of AHU flow to 12%)</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D03-459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Typical Refrigerant Charge Adjustment (&lt; ±20% rated charge) + Duct Sealing</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Standard Cooling Performance, reduced duct loss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Refrigerant Charge Adjustment (&gt;= ±20% rated charge) + Duct Sealing</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Standard Cooling Performance, reduced duct loss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D03-461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Basic Furnace Upgrade to 81% AFUE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Basic Furnace Upgrade to 81% AFUE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Mobile Home Duct Sealing (Supply Leakage Reduced from 35% of AHU flow to 15%)</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Mobile Home Duct Sealing (Supply Leakage Reduced from 35% of AHU flow to 15%)</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16 SEER (11.61 EER) Split System Air Conditioner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16 SEER (11.61 EER) Split 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17 SEER (12.28 EER) Split-System Air Conditioner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17 SEER (12.28 EER) Split-System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18 SEER (13.37 EER) Split-System Air Conditioner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SEER (13.37 EER) Split-System Air Conditioner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16 SEER (12.06 EER) / 8.4 HSPF (3.48 COP) A/C Heat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16 SEER (12.06 EER) / 8.4 HSPF (3.48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17 SEER (12.52 EER) / 8.6 HSPF (3.26 COP) A/C Heat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17 SEER (12.52 EER) / 8.6 HSPF (3.26 COP) A/C Heat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D03-468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Mobile Home Duct Sealing (Supply Leakage Reduced from 25% of AHU flow to 15%)</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Mobile Home Duct Sealing (Supply Leakage Reduced from 25% of AHU flow to 15%)</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13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Watt &lt; 800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13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Watt &gt;=800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14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15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15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16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16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18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Watt &lt; 1,100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18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Watt &gt;=1,100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19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19 Watt &gt;=1,100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D03-809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20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20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23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23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25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25 Watt &lt;1,600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25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25 Watt &gt;=1,600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26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26 Watt &lt;1,600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26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26 Watt &gt;=1,600 Lumens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28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28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30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30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36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36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D03-818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40 Watt </w:t>
            </w:r>
            <w:proofErr w:type="spellStart"/>
            <w:r w:rsidRPr="00BC22B4">
              <w:rPr>
                <w:rFonts w:cs="Arial"/>
                <w:sz w:val="16"/>
                <w:szCs w:val="16"/>
              </w:rPr>
              <w:t>Intergral</w:t>
            </w:r>
            <w:proofErr w:type="spellEnd"/>
            <w:r w:rsidRPr="00BC22B4">
              <w:rPr>
                <w:rFonts w:cs="Arial"/>
                <w:sz w:val="16"/>
                <w:szCs w:val="16"/>
              </w:rPr>
              <w:t xml:space="preserv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40 Watt - screw-in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D03-819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13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Watt &lt; 800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13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13 Watt &gt;=800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14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14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15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15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16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16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18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Watt &lt; 1,100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18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Watt &gt;=1,100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19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19 Watt &gt;=1,100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20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20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23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23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D03-829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25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25 Watt &lt;1,600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25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25 Watt &gt;=1,600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26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26 Watt &lt;1,600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26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26 Watt &gt;=1,600 Lumens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28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28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30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30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40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40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55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55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65 Watt Fixture CFL - Outdoor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65 Watt - pin based hardwire fixture - Outdoor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20W CFL Table Lamp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20W CFL Table Lamp - pin based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D03-839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25W CFL Table Lamp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25W CFL Table Lamp - pin based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D03-840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30W CFL Table Lamp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30W CFL Table Lamp - pin based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D03-841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55W CFL Table Lamp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55W CFL Table Lamp - pin based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D03-842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55W CFL </w:t>
            </w:r>
            <w:proofErr w:type="spellStart"/>
            <w:r w:rsidRPr="00BC22B4">
              <w:rPr>
                <w:rFonts w:cs="Arial"/>
                <w:sz w:val="16"/>
                <w:szCs w:val="16"/>
              </w:rPr>
              <w:t>Torchiere</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55W CFL </w:t>
            </w:r>
            <w:proofErr w:type="spellStart"/>
            <w:r w:rsidRPr="00BC22B4">
              <w:rPr>
                <w:rFonts w:cs="Arial"/>
                <w:sz w:val="16"/>
                <w:szCs w:val="16"/>
              </w:rPr>
              <w:t>Torchiere</w:t>
            </w:r>
            <w:proofErr w:type="spellEnd"/>
            <w:r w:rsidRPr="00BC22B4">
              <w:rPr>
                <w:rFonts w:cs="Arial"/>
                <w:sz w:val="16"/>
                <w:szCs w:val="16"/>
              </w:rPr>
              <w:t xml:space="preserve"> - pin based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D03-843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70W CFL </w:t>
            </w:r>
            <w:proofErr w:type="spellStart"/>
            <w:r w:rsidRPr="00BC22B4">
              <w:rPr>
                <w:rFonts w:cs="Arial"/>
                <w:sz w:val="16"/>
                <w:szCs w:val="16"/>
              </w:rPr>
              <w:t>Torchiere</w:t>
            </w:r>
            <w:proofErr w:type="spellEnd"/>
            <w:r w:rsidRPr="00BC22B4">
              <w:rPr>
                <w:rFonts w:cs="Arial"/>
                <w:sz w:val="16"/>
                <w:szCs w:val="16"/>
              </w:rPr>
              <w:t xml:space="preserve"> (two LAMPs)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70W CFL </w:t>
            </w:r>
            <w:proofErr w:type="spellStart"/>
            <w:r w:rsidRPr="00BC22B4">
              <w:rPr>
                <w:rFonts w:cs="Arial"/>
                <w:sz w:val="16"/>
                <w:szCs w:val="16"/>
              </w:rPr>
              <w:t>Torchiere</w:t>
            </w:r>
            <w:proofErr w:type="spellEnd"/>
            <w:r w:rsidRPr="00BC22B4">
              <w:rPr>
                <w:rFonts w:cs="Arial"/>
                <w:sz w:val="16"/>
                <w:szCs w:val="16"/>
              </w:rPr>
              <w:t xml:space="preserve"> (two LAMPs) - pin based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D03-844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50W Metal Halide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50W Metal Halide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D03-845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75W Metal Halide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75W Metal Halide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D03-846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100W Metal Halide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100W Metal Halide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T8 El Ballast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Four ft. 2 lamp fixture, ballast factor of less than or equal to 0.77</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T8 32W Dimming El Ballast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Four ft. 2 lamp fixture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De-lamp from 4', 4 lamp/fixture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Four ft. 4 lamp fixture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De-lamp from 8', 4 lamp/fixture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Eight ft. 4 lamp fixture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 required</w:t>
            </w: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Occ</w:t>
            </w:r>
            <w:proofErr w:type="spellEnd"/>
            <w:r w:rsidRPr="00BC22B4">
              <w:rPr>
                <w:rFonts w:cs="Arial"/>
                <w:sz w:val="16"/>
                <w:szCs w:val="16"/>
              </w:rPr>
              <w:t>-Sensor - Wall box</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Assume control 3 2-lamp fixtures w/T8 34W EL Ballast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 required</w:t>
            </w: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Occ</w:t>
            </w:r>
            <w:proofErr w:type="spellEnd"/>
            <w:r w:rsidRPr="00BC22B4">
              <w:rPr>
                <w:rFonts w:cs="Arial"/>
                <w:sz w:val="16"/>
                <w:szCs w:val="16"/>
              </w:rPr>
              <w:t>-Sensor - Plug loads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Assume control 50W of task lighting and a computer monitor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 required</w:t>
            </w:r>
          </w:p>
        </w:tc>
        <w:tc>
          <w:tcPr>
            <w:tcW w:w="4568"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Timeclock</w:t>
            </w:r>
            <w:proofErr w:type="spellEnd"/>
            <w:r w:rsidRPr="00BC22B4">
              <w:rPr>
                <w:rFonts w:cs="Arial"/>
                <w:sz w:val="16"/>
                <w:szCs w:val="16"/>
              </w:rPr>
              <w:t>:</w:t>
            </w:r>
          </w:p>
        </w:tc>
        <w:tc>
          <w:tcPr>
            <w:tcW w:w="4590" w:type="dxa"/>
            <w:noWrap/>
            <w:hideMark/>
          </w:tcPr>
          <w:p w:rsidR="006C3507" w:rsidRPr="00BC22B4" w:rsidRDefault="006C3507" w:rsidP="00BC22B4">
            <w:pPr>
              <w:spacing w:before="80" w:after="80"/>
              <w:rPr>
                <w:rFonts w:cs="Arial"/>
                <w:sz w:val="16"/>
                <w:szCs w:val="16"/>
              </w:rPr>
            </w:pPr>
            <w:proofErr w:type="spellStart"/>
            <w:r w:rsidRPr="00BC22B4">
              <w:rPr>
                <w:rFonts w:cs="Arial"/>
                <w:sz w:val="16"/>
                <w:szCs w:val="16"/>
              </w:rPr>
              <w:t>Controling</w:t>
            </w:r>
            <w:proofErr w:type="spellEnd"/>
            <w:r w:rsidRPr="00BC22B4">
              <w:rPr>
                <w:rFonts w:cs="Arial"/>
                <w:sz w:val="16"/>
                <w:szCs w:val="16"/>
              </w:rPr>
              <w:t xml:space="preserve"> 4 - 70W (95W w/ballast) HPS fixtures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D03-859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 required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Photocell: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Assume in conjunction with time-clock </w:t>
            </w:r>
            <w:proofErr w:type="spellStart"/>
            <w:r w:rsidRPr="00BC22B4">
              <w:rPr>
                <w:rFonts w:cs="Arial"/>
                <w:sz w:val="16"/>
                <w:szCs w:val="16"/>
              </w:rPr>
              <w:t>controling</w:t>
            </w:r>
            <w:proofErr w:type="spellEnd"/>
            <w:r w:rsidRPr="00BC22B4">
              <w:rPr>
                <w:rFonts w:cs="Arial"/>
                <w:sz w:val="16"/>
                <w:szCs w:val="16"/>
              </w:rPr>
              <w:t xml:space="preserve"> 4 - 70W (95W w/ballast) HPS fixtures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Copier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0-20 copies/minute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Copier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21 44copies/minute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Copier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Over 45 copies/minute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Gas Fryer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Base use = 25 </w:t>
            </w:r>
            <w:proofErr w:type="spellStart"/>
            <w:r w:rsidRPr="00BC22B4">
              <w:rPr>
                <w:rFonts w:cs="Arial"/>
                <w:sz w:val="16"/>
                <w:szCs w:val="16"/>
              </w:rPr>
              <w:t>kBtu</w:t>
            </w:r>
            <w:proofErr w:type="spellEnd"/>
            <w:r w:rsidRPr="00BC22B4">
              <w:rPr>
                <w:rFonts w:cs="Arial"/>
                <w:sz w:val="16"/>
                <w:szCs w:val="16"/>
              </w:rPr>
              <w:t xml:space="preserve">/hour; </w:t>
            </w:r>
            <w:proofErr w:type="spellStart"/>
            <w:r w:rsidRPr="00BC22B4">
              <w:rPr>
                <w:rFonts w:cs="Arial"/>
                <w:sz w:val="16"/>
                <w:szCs w:val="16"/>
              </w:rPr>
              <w:t>Eff</w:t>
            </w:r>
            <w:proofErr w:type="spellEnd"/>
            <w:r w:rsidRPr="00BC22B4">
              <w:rPr>
                <w:rFonts w:cs="Arial"/>
                <w:sz w:val="16"/>
                <w:szCs w:val="16"/>
              </w:rPr>
              <w:t xml:space="preserve"> use = 15 </w:t>
            </w:r>
            <w:proofErr w:type="spellStart"/>
            <w:r w:rsidRPr="00BC22B4">
              <w:rPr>
                <w:rFonts w:cs="Arial"/>
                <w:sz w:val="16"/>
                <w:szCs w:val="16"/>
              </w:rPr>
              <w:t>kBtu</w:t>
            </w:r>
            <w:proofErr w:type="spellEnd"/>
            <w:r w:rsidRPr="00BC22B4">
              <w:rPr>
                <w:rFonts w:cs="Arial"/>
                <w:sz w:val="16"/>
                <w:szCs w:val="16"/>
              </w:rPr>
              <w:t>/hour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Gas Griddle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Base use = 25 </w:t>
            </w:r>
            <w:proofErr w:type="spellStart"/>
            <w:r w:rsidRPr="00BC22B4">
              <w:rPr>
                <w:rFonts w:cs="Arial"/>
                <w:sz w:val="16"/>
                <w:szCs w:val="16"/>
              </w:rPr>
              <w:t>kBtu</w:t>
            </w:r>
            <w:proofErr w:type="spellEnd"/>
            <w:r w:rsidRPr="00BC22B4">
              <w:rPr>
                <w:rFonts w:cs="Arial"/>
                <w:sz w:val="16"/>
                <w:szCs w:val="16"/>
              </w:rPr>
              <w:t xml:space="preserve">/hour; </w:t>
            </w:r>
            <w:proofErr w:type="spellStart"/>
            <w:r w:rsidRPr="00BC22B4">
              <w:rPr>
                <w:rFonts w:cs="Arial"/>
                <w:sz w:val="16"/>
                <w:szCs w:val="16"/>
              </w:rPr>
              <w:t>Eff</w:t>
            </w:r>
            <w:proofErr w:type="spellEnd"/>
            <w:r w:rsidRPr="00BC22B4">
              <w:rPr>
                <w:rFonts w:cs="Arial"/>
                <w:sz w:val="16"/>
                <w:szCs w:val="16"/>
              </w:rPr>
              <w:t xml:space="preserve"> use = 20 </w:t>
            </w:r>
            <w:proofErr w:type="spellStart"/>
            <w:r w:rsidRPr="00BC22B4">
              <w:rPr>
                <w:rFonts w:cs="Arial"/>
                <w:sz w:val="16"/>
                <w:szCs w:val="16"/>
              </w:rPr>
              <w:t>kBtu</w:t>
            </w:r>
            <w:proofErr w:type="spellEnd"/>
            <w:r w:rsidRPr="00BC22B4">
              <w:rPr>
                <w:rFonts w:cs="Arial"/>
                <w:sz w:val="16"/>
                <w:szCs w:val="16"/>
              </w:rPr>
              <w:t>/hour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Electric Fryer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Base use = 2.8 kW/hour; </w:t>
            </w:r>
            <w:proofErr w:type="spellStart"/>
            <w:r w:rsidRPr="00BC22B4">
              <w:rPr>
                <w:rFonts w:cs="Arial"/>
                <w:sz w:val="16"/>
                <w:szCs w:val="16"/>
              </w:rPr>
              <w:t>Eff</w:t>
            </w:r>
            <w:proofErr w:type="spellEnd"/>
            <w:r w:rsidRPr="00BC22B4">
              <w:rPr>
                <w:rFonts w:cs="Arial"/>
                <w:sz w:val="16"/>
                <w:szCs w:val="16"/>
              </w:rPr>
              <w:t xml:space="preserve"> use = 2.4 kW/hour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Hot Food Holding Cabinet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Base use = 1.35 kW/hour; </w:t>
            </w:r>
            <w:proofErr w:type="spellStart"/>
            <w:r w:rsidRPr="00BC22B4">
              <w:rPr>
                <w:rFonts w:cs="Arial"/>
                <w:sz w:val="16"/>
                <w:szCs w:val="16"/>
              </w:rPr>
              <w:t>Eff</w:t>
            </w:r>
            <w:proofErr w:type="spellEnd"/>
            <w:r w:rsidRPr="00BC22B4">
              <w:rPr>
                <w:rFonts w:cs="Arial"/>
                <w:sz w:val="16"/>
                <w:szCs w:val="16"/>
              </w:rPr>
              <w:t xml:space="preserve"> use = 0.43 kW/hour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D03-908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w:t>
            </w:r>
            <w:r w:rsidRPr="00BC22B4">
              <w:rPr>
                <w:rFonts w:cs="Arial"/>
                <w:sz w:val="16"/>
                <w:szCs w:val="16"/>
              </w:rPr>
              <w:lastRenderedPageBreak/>
              <w:t>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lastRenderedPageBreak/>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Connectionless Steamer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Base use = 1.0 kW/hour; </w:t>
            </w:r>
            <w:proofErr w:type="spellStart"/>
            <w:r w:rsidRPr="00BC22B4">
              <w:rPr>
                <w:rFonts w:cs="Arial"/>
                <w:sz w:val="16"/>
                <w:szCs w:val="16"/>
              </w:rPr>
              <w:t>Eff</w:t>
            </w:r>
            <w:proofErr w:type="spellEnd"/>
            <w:r w:rsidRPr="00BC22B4">
              <w:rPr>
                <w:rFonts w:cs="Arial"/>
                <w:sz w:val="16"/>
                <w:szCs w:val="16"/>
              </w:rPr>
              <w:t xml:space="preserve"> use = 0.5 kW/hour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D03-909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Point of Use Water Heat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Point of Use Water Heat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Circulation Pump </w:t>
            </w:r>
            <w:proofErr w:type="spellStart"/>
            <w:r w:rsidRPr="00BC22B4">
              <w:rPr>
                <w:rFonts w:cs="Arial"/>
                <w:sz w:val="16"/>
                <w:szCs w:val="16"/>
              </w:rPr>
              <w:t>Timeclock</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Circulation Pump </w:t>
            </w:r>
            <w:proofErr w:type="spellStart"/>
            <w:r w:rsidRPr="00BC22B4">
              <w:rPr>
                <w:rFonts w:cs="Arial"/>
                <w:sz w:val="16"/>
                <w:szCs w:val="16"/>
              </w:rPr>
              <w:t>Timeclock</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 Water Heater, EF=0.64</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High Eff. Water Heater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Vending Machine Controller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Cold Drink Vending Machine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Vending Machine Controller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Uncooled Snack Machine</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- 5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- 15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- 20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D03-919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- 25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- 50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- 100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- 150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- 200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Open Drip Proof: 2215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- 5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D03-926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- 15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2076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- 20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D03-929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- 25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- 50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- 100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- 150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2820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is current code requirement</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Premium Efficiency Motor - 200 HP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Closed Drip Proof: 2215 Hours of Operation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color w:val="9C0006"/>
                <w:sz w:val="16"/>
                <w:szCs w:val="16"/>
              </w:rPr>
            </w:pPr>
            <w:r w:rsidRPr="00BC22B4">
              <w:rPr>
                <w:rFonts w:cs="Arial"/>
                <w:color w:val="9C0006"/>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Faucet Aerators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Faucet Aerators</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 required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Heat Pump Water Heater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Heat pump water heater, EF=2.9</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 required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Pipe Wrap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Pipe wrap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color w:val="9C0006"/>
                <w:sz w:val="16"/>
                <w:szCs w:val="16"/>
              </w:rPr>
            </w:pPr>
            <w:r w:rsidRPr="00BC22B4">
              <w:rPr>
                <w:rFonts w:cs="Arial"/>
                <w:color w:val="9C0006"/>
                <w:sz w:val="16"/>
                <w:szCs w:val="16"/>
              </w:rPr>
              <w:t>Workpaper</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Low Flow Showerhead</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Low Flow Showerhead</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Water Heater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Water Heater - Gas, EF = 0.63</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D03-939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Water Heater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Water Heater - Electric, EF=0.93</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 longer needed</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Point of Use Water Heat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Point of Use Water Heat</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Efficient Clothes Dryer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Electric Clothes Dryer with Moisture Sensor.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Efficient Clothes Dryer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Gas Clothes Dryer with Moisture Sensor.</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- 1.5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1: MEF=1.42, 1.5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D03-944</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- 1.5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2: MEF=1.60, 1.5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D03-945</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- 1.5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3: MEF=1.80, 1.5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- 2.65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1: MEF=1.42, 2.65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- 2.65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2: MEF=1.60, 2.65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D03-948</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- 2.65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3: MEF=1.80, 2.65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D03-949</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- 3.5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1: MEF=1.42, 3.5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D03-950</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- 3.5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2: MEF=1.60, 3.5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D03-951</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Energy Star Clothes Washer - 3.5 </w:t>
            </w:r>
            <w:proofErr w:type="spellStart"/>
            <w:r w:rsidRPr="00BC22B4">
              <w:rPr>
                <w:rFonts w:cs="Arial"/>
                <w:sz w:val="16"/>
                <w:szCs w:val="16"/>
              </w:rPr>
              <w:t>cf</w:t>
            </w:r>
            <w:proofErr w:type="spellEnd"/>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CEE Tier 3: MEF=1.80, 3.5 </w:t>
            </w:r>
            <w:proofErr w:type="spellStart"/>
            <w:r w:rsidRPr="00BC22B4">
              <w:rPr>
                <w:rFonts w:cs="Arial"/>
                <w:sz w:val="16"/>
                <w:szCs w:val="16"/>
              </w:rPr>
              <w:t>cf</w:t>
            </w:r>
            <w:proofErr w:type="spellEnd"/>
            <w:r w:rsidRPr="00BC22B4">
              <w:rPr>
                <w:rFonts w:cs="Arial"/>
                <w:sz w:val="16"/>
                <w:szCs w:val="16"/>
              </w:rPr>
              <w:t xml:space="preserve"> Capacity</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D03-952</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Energy Star Dish Washer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Energy Star Dishwasher, EF=0.58</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D03-953</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Energy Star Dish Washer</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Energy Star Dishwasher, EF=0.58</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D03-966</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not allowed by T20 anymore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Efficient Single Speed Pool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Efficient Single Speed Pool Pump, 1.5 </w:t>
            </w:r>
            <w:proofErr w:type="spellStart"/>
            <w:r w:rsidRPr="00BC22B4">
              <w:rPr>
                <w:rFonts w:cs="Arial"/>
                <w:sz w:val="16"/>
                <w:szCs w:val="16"/>
              </w:rPr>
              <w:t>hp</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D03-967</w:t>
            </w:r>
          </w:p>
        </w:tc>
        <w:tc>
          <w:tcPr>
            <w:tcW w:w="720"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Res</w:t>
            </w:r>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not allowed by T20 anymore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Efficient Two Speed Pool Pump</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Efficient Two Speed Pool Pump, 1.5 </w:t>
            </w:r>
            <w:proofErr w:type="spellStart"/>
            <w:r w:rsidRPr="00BC22B4">
              <w:rPr>
                <w:rFonts w:cs="Arial"/>
                <w:sz w:val="16"/>
                <w:szCs w:val="16"/>
              </w:rPr>
              <w:t>hp</w:t>
            </w:r>
            <w:proofErr w:type="spellEnd"/>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Low Pressure Sprinkler Nozzle - Portable</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Low pressure sprinkler nozzle, Portable system.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Low Pressure Sprinkler Nozzle - Solid set</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Low pressure sprinkler nozzle, Solid set system.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Sprinkler to Micro irrigation - Field/</w:t>
            </w:r>
            <w:proofErr w:type="spellStart"/>
            <w:r w:rsidRPr="00BC22B4">
              <w:rPr>
                <w:rFonts w:cs="Arial"/>
                <w:sz w:val="16"/>
                <w:szCs w:val="16"/>
              </w:rPr>
              <w:t>Vegs</w:t>
            </w:r>
            <w:proofErr w:type="spellEnd"/>
            <w:r w:rsidRPr="00BC22B4">
              <w:rPr>
                <w:rFonts w:cs="Arial"/>
                <w:sz w:val="16"/>
                <w:szCs w:val="16"/>
              </w:rPr>
              <w:t xml:space="preserve"> - non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in fields without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Sprinkler to Micro irrigation - Field/</w:t>
            </w:r>
            <w:proofErr w:type="spellStart"/>
            <w:r w:rsidRPr="00BC22B4">
              <w:rPr>
                <w:rFonts w:cs="Arial"/>
                <w:sz w:val="16"/>
                <w:szCs w:val="16"/>
              </w:rPr>
              <w:t>Vegs</w:t>
            </w:r>
            <w:proofErr w:type="spellEnd"/>
            <w:r w:rsidRPr="00BC22B4">
              <w:rPr>
                <w:rFonts w:cs="Arial"/>
                <w:sz w:val="16"/>
                <w:szCs w:val="16"/>
              </w:rPr>
              <w:t xml:space="preserve"> -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in fields with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Sprinkler to Micro irrigation - </w:t>
            </w:r>
            <w:proofErr w:type="spellStart"/>
            <w:r w:rsidRPr="00BC22B4">
              <w:rPr>
                <w:rFonts w:cs="Arial"/>
                <w:sz w:val="16"/>
                <w:szCs w:val="16"/>
              </w:rPr>
              <w:t>Decid</w:t>
            </w:r>
            <w:proofErr w:type="spellEnd"/>
            <w:r w:rsidRPr="00BC22B4">
              <w:rPr>
                <w:rFonts w:cs="Arial"/>
                <w:sz w:val="16"/>
                <w:szCs w:val="16"/>
              </w:rPr>
              <w:t xml:space="preserve"> Trees - non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of deciduous trees without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 xml:space="preserve">Sprinkler to Micro irrigation - </w:t>
            </w:r>
            <w:proofErr w:type="spellStart"/>
            <w:r w:rsidRPr="00BC22B4">
              <w:rPr>
                <w:rFonts w:cs="Arial"/>
                <w:sz w:val="16"/>
                <w:szCs w:val="16"/>
              </w:rPr>
              <w:t>Decid</w:t>
            </w:r>
            <w:proofErr w:type="spellEnd"/>
            <w:r w:rsidRPr="00BC22B4">
              <w:rPr>
                <w:rFonts w:cs="Arial"/>
                <w:sz w:val="16"/>
                <w:szCs w:val="16"/>
              </w:rPr>
              <w:t xml:space="preserve"> Trees -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of deciduous trees with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Sprinkler to Micro irrigation - Citrus Trees - non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of citrus trees without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Sprinkler to Micro irrigation - Citrus Trees -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of citrus trees with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D03-978</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Sprinkler to Micro irrigation - grapes - non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of grapes without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D03-979</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Sprinkler to Micro irrigation - grapes - well</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Micro irrigation of grapes with a well</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D03-980</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Infrared Film for Greenhouses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Greenhouse Infrared Film</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D03-981</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Updated in v4.00</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Greenhouse Heat Curtain</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Greenhouse Heat Curtain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lastRenderedPageBreak/>
              <w:t>D03-982</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Variable Frequency Drives with feedback controls  for Dairy Pumps</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Add VFD to Dairy Vacuum Pump</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D03-983</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Ventilation Fans or Box Fans (6)</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High efficiency ventilation fan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D03-984</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Volume Low Speed Fans 16 Ft Diameter (4)</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16 Foot Diameter fan with 35 Ft Spacing Free Stall Barn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D03-985</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Volume Low Speed Fans 18 Ft Diameter (3)</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18 Foot Diameter fan with 40 Ft Spacing Free Stall Barn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D03-986</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Volume Low Speed Fans 20 Ft Diameter (3)</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20 Foot Diameter fan with 50 Ft Spacing Free Stall Barn</w:t>
            </w:r>
          </w:p>
        </w:tc>
      </w:tr>
      <w:tr w:rsidR="006C3507" w:rsidRPr="00BC22B4" w:rsidTr="00BC22B4">
        <w:trPr>
          <w:trHeight w:val="300"/>
        </w:trPr>
        <w:tc>
          <w:tcPr>
            <w:tcW w:w="964"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D03-987</w:t>
            </w:r>
          </w:p>
        </w:tc>
        <w:tc>
          <w:tcPr>
            <w:tcW w:w="720" w:type="dxa"/>
            <w:noWrap/>
            <w:hideMark/>
          </w:tcPr>
          <w:p w:rsidR="006C3507" w:rsidRPr="00BC22B4" w:rsidRDefault="006C3507" w:rsidP="00BC22B4">
            <w:pPr>
              <w:spacing w:before="80" w:after="80"/>
              <w:jc w:val="center"/>
              <w:rPr>
                <w:rFonts w:cs="Arial"/>
                <w:sz w:val="16"/>
                <w:szCs w:val="16"/>
              </w:rPr>
            </w:pPr>
            <w:proofErr w:type="spellStart"/>
            <w:r w:rsidRPr="00BC22B4">
              <w:rPr>
                <w:rFonts w:cs="Arial"/>
                <w:sz w:val="16"/>
                <w:szCs w:val="16"/>
              </w:rPr>
              <w:t>NonRes</w:t>
            </w:r>
            <w:proofErr w:type="spellEnd"/>
          </w:p>
        </w:tc>
        <w:tc>
          <w:tcPr>
            <w:tcW w:w="932" w:type="dxa"/>
            <w:noWrap/>
            <w:hideMark/>
          </w:tcPr>
          <w:p w:rsidR="006C3507" w:rsidRPr="00BC22B4" w:rsidRDefault="006C3507" w:rsidP="00BC22B4">
            <w:pPr>
              <w:spacing w:before="80" w:after="80"/>
              <w:jc w:val="center"/>
              <w:rPr>
                <w:rFonts w:cs="Arial"/>
                <w:color w:val="A5A5A5"/>
                <w:sz w:val="16"/>
                <w:szCs w:val="16"/>
              </w:rPr>
            </w:pPr>
            <w:r w:rsidRPr="00BC22B4">
              <w:rPr>
                <w:rFonts w:cs="Arial"/>
                <w:color w:val="A5A5A5"/>
                <w:sz w:val="16"/>
                <w:szCs w:val="16"/>
              </w:rPr>
              <w:t>FALSE</w:t>
            </w:r>
          </w:p>
        </w:tc>
        <w:tc>
          <w:tcPr>
            <w:tcW w:w="2092" w:type="dxa"/>
            <w:noWrap/>
            <w:hideMark/>
          </w:tcPr>
          <w:p w:rsidR="006C3507" w:rsidRPr="00BC22B4" w:rsidRDefault="006C3507" w:rsidP="00BC22B4">
            <w:pPr>
              <w:spacing w:before="80" w:after="80"/>
              <w:jc w:val="center"/>
              <w:rPr>
                <w:rFonts w:cs="Arial"/>
                <w:sz w:val="16"/>
                <w:szCs w:val="16"/>
              </w:rPr>
            </w:pPr>
            <w:r w:rsidRPr="00BC22B4">
              <w:rPr>
                <w:rFonts w:cs="Arial"/>
                <w:sz w:val="16"/>
                <w:szCs w:val="16"/>
              </w:rPr>
              <w:t>out-of-date</w:t>
            </w:r>
          </w:p>
        </w:tc>
        <w:tc>
          <w:tcPr>
            <w:tcW w:w="4568" w:type="dxa"/>
            <w:noWrap/>
            <w:hideMark/>
          </w:tcPr>
          <w:p w:rsidR="006C3507" w:rsidRPr="00BC22B4" w:rsidRDefault="006C3507" w:rsidP="00BC22B4">
            <w:pPr>
              <w:spacing w:before="80" w:after="80"/>
              <w:rPr>
                <w:rFonts w:cs="Arial"/>
                <w:sz w:val="16"/>
                <w:szCs w:val="16"/>
              </w:rPr>
            </w:pPr>
            <w:r w:rsidRPr="00BC22B4">
              <w:rPr>
                <w:rFonts w:cs="Arial"/>
                <w:sz w:val="16"/>
                <w:szCs w:val="16"/>
              </w:rPr>
              <w:t>High Volume Low Speed Fans 24 Ft Diameter (2)</w:t>
            </w:r>
          </w:p>
        </w:tc>
        <w:tc>
          <w:tcPr>
            <w:tcW w:w="4590" w:type="dxa"/>
            <w:noWrap/>
            <w:hideMark/>
          </w:tcPr>
          <w:p w:rsidR="006C3507" w:rsidRPr="00BC22B4" w:rsidRDefault="006C3507" w:rsidP="00BC22B4">
            <w:pPr>
              <w:spacing w:before="80" w:after="80"/>
              <w:rPr>
                <w:rFonts w:cs="Arial"/>
                <w:sz w:val="16"/>
                <w:szCs w:val="16"/>
              </w:rPr>
            </w:pPr>
            <w:r w:rsidRPr="00BC22B4">
              <w:rPr>
                <w:rFonts w:cs="Arial"/>
                <w:sz w:val="16"/>
                <w:szCs w:val="16"/>
              </w:rPr>
              <w:t>24 Foot Diameter fan with 60 Ft Spacing Free Stall Barn</w:t>
            </w:r>
          </w:p>
        </w:tc>
      </w:tr>
    </w:tbl>
    <w:p w:rsidR="006C3507" w:rsidRPr="00212A73" w:rsidRDefault="006C3507" w:rsidP="006C3507">
      <w:pPr>
        <w:rPr>
          <w:rFonts w:cs="Arial"/>
          <w:sz w:val="16"/>
          <w:szCs w:val="16"/>
        </w:rPr>
      </w:pPr>
    </w:p>
    <w:p w:rsidR="006C3507" w:rsidRPr="00EC3620" w:rsidRDefault="006C3507" w:rsidP="006C3507">
      <w:pPr>
        <w:spacing w:before="100" w:beforeAutospacing="1" w:after="100" w:afterAutospacing="1"/>
      </w:pPr>
    </w:p>
    <w:sectPr w:rsidR="006C3507" w:rsidRPr="00EC3620" w:rsidSect="000D48CE">
      <w:headerReference w:type="default" r:id="rId35"/>
      <w:footerReference w:type="default" r:id="rId36"/>
      <w:pgSz w:w="15840" w:h="12240" w:orient="landscape" w:code="1"/>
      <w:pgMar w:top="1440" w:right="864"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152" w:rsidRDefault="00FA7152">
      <w:r>
        <w:separator/>
      </w:r>
    </w:p>
  </w:endnote>
  <w:endnote w:type="continuationSeparator" w:id="0">
    <w:p w:rsidR="00FA7152" w:rsidRDefault="00FA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Default="003F5EE8" w:rsidP="00AF41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5EE8" w:rsidRDefault="003F5EE8" w:rsidP="00EC36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Pr="00B5743F" w:rsidRDefault="003F5EE8" w:rsidP="00B5743F">
    <w:pPr>
      <w:pStyle w:val="Footer"/>
      <w:pBdr>
        <w:top w:val="single" w:sz="12" w:space="1" w:color="auto"/>
      </w:pBdr>
      <w:tabs>
        <w:tab w:val="clear" w:pos="4320"/>
        <w:tab w:val="center" w:pos="4500"/>
      </w:tabs>
      <w:rPr>
        <w:i/>
      </w:rPr>
    </w:pPr>
    <w:proofErr w:type="spellStart"/>
    <w:r w:rsidRPr="00765119">
      <w:rPr>
        <w:i/>
      </w:rPr>
      <w:t>Itron</w:t>
    </w:r>
    <w:proofErr w:type="spellEnd"/>
    <w:r>
      <w:rPr>
        <w:i/>
      </w:rPr>
      <w:t>, Inc.</w:t>
    </w:r>
    <w:r w:rsidRPr="00765119">
      <w:rPr>
        <w:i/>
      </w:rPr>
      <w:tab/>
      <w:t>A-</w:t>
    </w:r>
    <w:r w:rsidRPr="00765119">
      <w:rPr>
        <w:i/>
      </w:rPr>
      <w:fldChar w:fldCharType="begin"/>
    </w:r>
    <w:r w:rsidRPr="00765119">
      <w:rPr>
        <w:i/>
      </w:rPr>
      <w:instrText xml:space="preserve"> PAGE   \* MERGEFORMAT </w:instrText>
    </w:r>
    <w:r w:rsidRPr="00765119">
      <w:rPr>
        <w:i/>
      </w:rPr>
      <w:fldChar w:fldCharType="separate"/>
    </w:r>
    <w:r w:rsidR="000365E8">
      <w:rPr>
        <w:i/>
        <w:noProof/>
      </w:rPr>
      <w:t>13</w:t>
    </w:r>
    <w:r w:rsidRPr="00765119">
      <w:rPr>
        <w:i/>
      </w:rPr>
      <w:fldChar w:fldCharType="end"/>
    </w:r>
    <w:r w:rsidRPr="00765119">
      <w:rPr>
        <w:i/>
      </w:rPr>
      <w:tab/>
    </w:r>
    <w:r>
      <w:fldChar w:fldCharType="begin"/>
    </w:r>
    <w:r>
      <w:instrText xml:space="preserve"> REF _Ref307574891 \h  \* MERGEFORMAT </w:instrText>
    </w:r>
    <w:r>
      <w:fldChar w:fldCharType="separate"/>
    </w:r>
    <w:r w:rsidRPr="00B5743F">
      <w:rPr>
        <w:i/>
      </w:rPr>
      <w:t>Appendix A-1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Pr="00B5743F" w:rsidRDefault="003F5EE8" w:rsidP="00B5743F">
    <w:pPr>
      <w:pStyle w:val="Footer"/>
      <w:pBdr>
        <w:top w:val="single" w:sz="12" w:space="1" w:color="auto"/>
      </w:pBdr>
      <w:tabs>
        <w:tab w:val="clear" w:pos="4320"/>
        <w:tab w:val="center" w:pos="4500"/>
      </w:tabs>
      <w:rPr>
        <w:i/>
      </w:rPr>
    </w:pPr>
    <w:proofErr w:type="spellStart"/>
    <w:r w:rsidRPr="00765119">
      <w:rPr>
        <w:i/>
      </w:rPr>
      <w:t>Itron</w:t>
    </w:r>
    <w:proofErr w:type="spellEnd"/>
    <w:r>
      <w:rPr>
        <w:i/>
      </w:rPr>
      <w:t>, Inc.</w:t>
    </w:r>
    <w:r w:rsidRPr="00765119">
      <w:rPr>
        <w:i/>
      </w:rPr>
      <w:tab/>
      <w:t>A-</w:t>
    </w:r>
    <w:r w:rsidRPr="00765119">
      <w:rPr>
        <w:i/>
      </w:rPr>
      <w:fldChar w:fldCharType="begin"/>
    </w:r>
    <w:r w:rsidRPr="00765119">
      <w:rPr>
        <w:i/>
      </w:rPr>
      <w:instrText xml:space="preserve"> PAGE   \* MERGEFORMAT </w:instrText>
    </w:r>
    <w:r w:rsidRPr="00765119">
      <w:rPr>
        <w:i/>
      </w:rPr>
      <w:fldChar w:fldCharType="separate"/>
    </w:r>
    <w:r w:rsidR="000365E8">
      <w:rPr>
        <w:i/>
        <w:noProof/>
      </w:rPr>
      <w:t>1</w:t>
    </w:r>
    <w:r w:rsidRPr="00765119">
      <w:rPr>
        <w:i/>
      </w:rPr>
      <w:fldChar w:fldCharType="end"/>
    </w:r>
    <w:r w:rsidRPr="00765119">
      <w:rPr>
        <w:i/>
      </w:rPr>
      <w:tab/>
    </w:r>
    <w:r>
      <w:fldChar w:fldCharType="begin"/>
    </w:r>
    <w:r>
      <w:instrText xml:space="preserve"> REF _Ref307574891 \h  \* MERGEFORMAT </w:instrText>
    </w:r>
    <w:r>
      <w:fldChar w:fldCharType="separate"/>
    </w:r>
    <w:r w:rsidRPr="00B5743F">
      <w:rPr>
        <w:i/>
      </w:rPr>
      <w:t>Appendix A-1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Pr="00B5743F" w:rsidRDefault="003F5EE8" w:rsidP="00B5743F">
    <w:pPr>
      <w:pStyle w:val="Footer"/>
      <w:pBdr>
        <w:top w:val="single" w:sz="12" w:space="1" w:color="auto"/>
      </w:pBdr>
      <w:tabs>
        <w:tab w:val="clear" w:pos="4320"/>
        <w:tab w:val="clear" w:pos="8640"/>
        <w:tab w:val="center" w:pos="6930"/>
        <w:tab w:val="right" w:pos="14130"/>
      </w:tabs>
      <w:rPr>
        <w:i/>
      </w:rPr>
    </w:pPr>
    <w:proofErr w:type="spellStart"/>
    <w:r w:rsidRPr="00765119">
      <w:rPr>
        <w:i/>
      </w:rPr>
      <w:t>Itron</w:t>
    </w:r>
    <w:proofErr w:type="spellEnd"/>
    <w:r>
      <w:rPr>
        <w:i/>
      </w:rPr>
      <w:t>, Inc.</w:t>
    </w:r>
    <w:r w:rsidRPr="00765119">
      <w:rPr>
        <w:i/>
      </w:rPr>
      <w:tab/>
      <w:t>A-</w:t>
    </w:r>
    <w:r w:rsidRPr="00765119">
      <w:rPr>
        <w:i/>
      </w:rPr>
      <w:fldChar w:fldCharType="begin"/>
    </w:r>
    <w:r w:rsidRPr="00765119">
      <w:rPr>
        <w:i/>
      </w:rPr>
      <w:instrText xml:space="preserve"> PAGE   \* MERGEFORMAT </w:instrText>
    </w:r>
    <w:r w:rsidRPr="00765119">
      <w:rPr>
        <w:i/>
      </w:rPr>
      <w:fldChar w:fldCharType="separate"/>
    </w:r>
    <w:r w:rsidR="000365E8">
      <w:rPr>
        <w:i/>
        <w:noProof/>
      </w:rPr>
      <w:t>25</w:t>
    </w:r>
    <w:r w:rsidRPr="00765119">
      <w:rPr>
        <w:i/>
      </w:rPr>
      <w:fldChar w:fldCharType="end"/>
    </w:r>
    <w:r w:rsidRPr="00765119">
      <w:rPr>
        <w:i/>
      </w:rPr>
      <w:tab/>
    </w:r>
    <w:r>
      <w:fldChar w:fldCharType="begin"/>
    </w:r>
    <w:r>
      <w:instrText xml:space="preserve"> REF _Ref307574891 \h  \* MERGEFORMAT </w:instrText>
    </w:r>
    <w:r>
      <w:fldChar w:fldCharType="separate"/>
    </w:r>
    <w:r w:rsidRPr="00B5743F">
      <w:rPr>
        <w:i/>
      </w:rPr>
      <w:t>Appendix A-1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Pr="00B5743F" w:rsidRDefault="003F5EE8" w:rsidP="00B5743F">
    <w:pPr>
      <w:pStyle w:val="Footer"/>
      <w:pBdr>
        <w:top w:val="single" w:sz="12" w:space="1" w:color="auto"/>
      </w:pBdr>
      <w:tabs>
        <w:tab w:val="clear" w:pos="4320"/>
        <w:tab w:val="clear" w:pos="8640"/>
        <w:tab w:val="center" w:pos="6480"/>
        <w:tab w:val="right" w:pos="13860"/>
      </w:tabs>
      <w:rPr>
        <w:i/>
      </w:rPr>
    </w:pPr>
    <w:proofErr w:type="spellStart"/>
    <w:r w:rsidRPr="00765119">
      <w:rPr>
        <w:i/>
      </w:rPr>
      <w:t>Itron</w:t>
    </w:r>
    <w:proofErr w:type="spellEnd"/>
    <w:r>
      <w:rPr>
        <w:i/>
      </w:rPr>
      <w:t>, Inc.</w:t>
    </w:r>
    <w:r w:rsidRPr="00765119">
      <w:rPr>
        <w:i/>
      </w:rPr>
      <w:tab/>
      <w:t>A-</w:t>
    </w:r>
    <w:r w:rsidRPr="00765119">
      <w:rPr>
        <w:i/>
      </w:rPr>
      <w:fldChar w:fldCharType="begin"/>
    </w:r>
    <w:r w:rsidRPr="00765119">
      <w:rPr>
        <w:i/>
      </w:rPr>
      <w:instrText xml:space="preserve"> PAGE   \* MERGEFORMAT </w:instrText>
    </w:r>
    <w:r w:rsidRPr="00765119">
      <w:rPr>
        <w:i/>
      </w:rPr>
      <w:fldChar w:fldCharType="separate"/>
    </w:r>
    <w:r w:rsidR="000365E8">
      <w:rPr>
        <w:i/>
        <w:noProof/>
      </w:rPr>
      <w:t>43</w:t>
    </w:r>
    <w:r w:rsidRPr="00765119">
      <w:rPr>
        <w:i/>
      </w:rPr>
      <w:fldChar w:fldCharType="end"/>
    </w:r>
    <w:r w:rsidRPr="00765119">
      <w:rPr>
        <w:i/>
      </w:rPr>
      <w:tab/>
    </w:r>
    <w:r>
      <w:fldChar w:fldCharType="begin"/>
    </w:r>
    <w:r>
      <w:instrText xml:space="preserve"> REF _Ref307574891 \h  \* MERGEFORMAT </w:instrText>
    </w:r>
    <w:r>
      <w:fldChar w:fldCharType="separate"/>
    </w:r>
    <w:r w:rsidRPr="00B5743F">
      <w:rPr>
        <w:i/>
      </w:rPr>
      <w:t>Appendix A-1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152" w:rsidRDefault="00FA7152">
      <w:r>
        <w:separator/>
      </w:r>
    </w:p>
  </w:footnote>
  <w:footnote w:type="continuationSeparator" w:id="0">
    <w:p w:rsidR="00FA7152" w:rsidRDefault="00FA7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Default="003F5EE8" w:rsidP="003A519A">
    <w:pPr>
      <w:pStyle w:val="Header"/>
      <w:pBdr>
        <w:bottom w:val="single" w:sz="12" w:space="1" w:color="auto"/>
      </w:pBdr>
      <w:jc w:val="center"/>
    </w:pPr>
    <w:r w:rsidRPr="00D13910">
      <w:rPr>
        <w:i/>
        <w:iCs/>
      </w:rPr>
      <w:t>Database for</w:t>
    </w:r>
    <w:r>
      <w:rPr>
        <w:i/>
        <w:iCs/>
      </w:rPr>
      <w:t xml:space="preserve"> </w:t>
    </w:r>
    <w:r w:rsidRPr="00D13910">
      <w:rPr>
        <w:i/>
        <w:iCs/>
      </w:rPr>
      <w:t>Energy Efficiency Resources: 2011 Update</w:t>
    </w:r>
  </w:p>
  <w:p w:rsidR="003F5EE8" w:rsidRPr="003A519A" w:rsidRDefault="003F5EE8" w:rsidP="003A519A">
    <w:pPr>
      <w:pStyle w:val="Header"/>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Default="003F5EE8" w:rsidP="003A519A">
    <w:pPr>
      <w:pStyle w:val="Header"/>
      <w:pBdr>
        <w:bottom w:val="single" w:sz="12" w:space="1" w:color="auto"/>
      </w:pBdr>
      <w:jc w:val="center"/>
    </w:pPr>
    <w:r w:rsidRPr="00D13910">
      <w:rPr>
        <w:i/>
        <w:iCs/>
      </w:rPr>
      <w:t>Database for</w:t>
    </w:r>
    <w:r>
      <w:rPr>
        <w:i/>
        <w:iCs/>
      </w:rPr>
      <w:t xml:space="preserve"> </w:t>
    </w:r>
    <w:r w:rsidRPr="00D13910">
      <w:rPr>
        <w:i/>
        <w:iCs/>
      </w:rPr>
      <w:t>Energy Efficiency Resources: 2011 Update</w:t>
    </w:r>
  </w:p>
  <w:p w:rsidR="003F5EE8" w:rsidRPr="003A519A" w:rsidRDefault="003F5EE8" w:rsidP="003A519A">
    <w:pPr>
      <w:pStyle w:val="Head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EE8" w:rsidRDefault="003F5EE8" w:rsidP="003A519A">
    <w:pPr>
      <w:pStyle w:val="Header"/>
      <w:pBdr>
        <w:bottom w:val="single" w:sz="12" w:space="1" w:color="auto"/>
      </w:pBdr>
      <w:jc w:val="center"/>
    </w:pPr>
    <w:r w:rsidRPr="00D13910">
      <w:rPr>
        <w:i/>
        <w:iCs/>
      </w:rPr>
      <w:t>Database for</w:t>
    </w:r>
    <w:r>
      <w:rPr>
        <w:i/>
        <w:iCs/>
      </w:rPr>
      <w:t xml:space="preserve"> </w:t>
    </w:r>
    <w:r w:rsidRPr="00D13910">
      <w:rPr>
        <w:i/>
        <w:iCs/>
      </w:rPr>
      <w:t>Energy Efficiency Resources: 2011 Update</w:t>
    </w:r>
  </w:p>
  <w:p w:rsidR="003F5EE8" w:rsidRPr="003A519A" w:rsidRDefault="003F5EE8" w:rsidP="003A519A">
    <w:pPr>
      <w:pStyle w:val="Head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4250"/>
    <w:multiLevelType w:val="hybridMultilevel"/>
    <w:tmpl w:val="DB9EB8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E2D6221"/>
    <w:multiLevelType w:val="hybridMultilevel"/>
    <w:tmpl w:val="A0C882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32669E8"/>
    <w:multiLevelType w:val="hybridMultilevel"/>
    <w:tmpl w:val="6F5E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7E22A7"/>
    <w:multiLevelType w:val="hybridMultilevel"/>
    <w:tmpl w:val="2A369F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0572BAF"/>
    <w:multiLevelType w:val="hybridMultilevel"/>
    <w:tmpl w:val="431CDC3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C6F3F62"/>
    <w:multiLevelType w:val="hybridMultilevel"/>
    <w:tmpl w:val="82160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CB73CB"/>
    <w:multiLevelType w:val="hybridMultilevel"/>
    <w:tmpl w:val="F5DA32C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595C6A"/>
    <w:multiLevelType w:val="multilevel"/>
    <w:tmpl w:val="2640AA7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cs="Times New Roman"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abstractNumId w:val="7"/>
  </w:num>
  <w:num w:numId="2">
    <w:abstractNumId w:val="0"/>
  </w:num>
  <w:num w:numId="3">
    <w:abstractNumId w:val="6"/>
  </w:num>
  <w:num w:numId="4">
    <w:abstractNumId w:val="3"/>
  </w:num>
  <w:num w:numId="5">
    <w:abstractNumId w:val="4"/>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040E4"/>
    <w:rsid w:val="000015AA"/>
    <w:rsid w:val="00022908"/>
    <w:rsid w:val="000311EE"/>
    <w:rsid w:val="000365E8"/>
    <w:rsid w:val="00046764"/>
    <w:rsid w:val="00051CE9"/>
    <w:rsid w:val="000749D7"/>
    <w:rsid w:val="000D1EBD"/>
    <w:rsid w:val="000D38CF"/>
    <w:rsid w:val="000D48CE"/>
    <w:rsid w:val="000E1591"/>
    <w:rsid w:val="000E3958"/>
    <w:rsid w:val="000E75EC"/>
    <w:rsid w:val="00123D55"/>
    <w:rsid w:val="00125E0F"/>
    <w:rsid w:val="00126BD5"/>
    <w:rsid w:val="0013314F"/>
    <w:rsid w:val="001425C5"/>
    <w:rsid w:val="00190F4E"/>
    <w:rsid w:val="001942C8"/>
    <w:rsid w:val="001A2519"/>
    <w:rsid w:val="001C0FD8"/>
    <w:rsid w:val="001E136B"/>
    <w:rsid w:val="00201F61"/>
    <w:rsid w:val="0020350D"/>
    <w:rsid w:val="00212A73"/>
    <w:rsid w:val="00213E07"/>
    <w:rsid w:val="00277798"/>
    <w:rsid w:val="00284E2D"/>
    <w:rsid w:val="002A5193"/>
    <w:rsid w:val="002B7013"/>
    <w:rsid w:val="002D25F2"/>
    <w:rsid w:val="00325797"/>
    <w:rsid w:val="00367EA9"/>
    <w:rsid w:val="00384A2B"/>
    <w:rsid w:val="003902CA"/>
    <w:rsid w:val="00393F63"/>
    <w:rsid w:val="003A519A"/>
    <w:rsid w:val="003B619F"/>
    <w:rsid w:val="003B6E45"/>
    <w:rsid w:val="003D3216"/>
    <w:rsid w:val="003F0325"/>
    <w:rsid w:val="003F5EE8"/>
    <w:rsid w:val="003F7F0C"/>
    <w:rsid w:val="004131BA"/>
    <w:rsid w:val="00432719"/>
    <w:rsid w:val="00491855"/>
    <w:rsid w:val="004927F4"/>
    <w:rsid w:val="004F176C"/>
    <w:rsid w:val="004F7922"/>
    <w:rsid w:val="00515FDC"/>
    <w:rsid w:val="005418BD"/>
    <w:rsid w:val="00583016"/>
    <w:rsid w:val="0059112D"/>
    <w:rsid w:val="00594A15"/>
    <w:rsid w:val="005B502F"/>
    <w:rsid w:val="005C0ACE"/>
    <w:rsid w:val="005F15B6"/>
    <w:rsid w:val="005F798C"/>
    <w:rsid w:val="006106F6"/>
    <w:rsid w:val="00637DC0"/>
    <w:rsid w:val="006455B6"/>
    <w:rsid w:val="00646BD1"/>
    <w:rsid w:val="00692F39"/>
    <w:rsid w:val="006A479A"/>
    <w:rsid w:val="006C081E"/>
    <w:rsid w:val="006C3378"/>
    <w:rsid w:val="006C3507"/>
    <w:rsid w:val="006D4B12"/>
    <w:rsid w:val="00705689"/>
    <w:rsid w:val="007135BB"/>
    <w:rsid w:val="007171EC"/>
    <w:rsid w:val="00725120"/>
    <w:rsid w:val="0073055D"/>
    <w:rsid w:val="00771D52"/>
    <w:rsid w:val="00772FB9"/>
    <w:rsid w:val="00782B60"/>
    <w:rsid w:val="00783FD2"/>
    <w:rsid w:val="00786990"/>
    <w:rsid w:val="007933AB"/>
    <w:rsid w:val="007F759D"/>
    <w:rsid w:val="0080520C"/>
    <w:rsid w:val="00812011"/>
    <w:rsid w:val="008125B4"/>
    <w:rsid w:val="0082036D"/>
    <w:rsid w:val="00852BF9"/>
    <w:rsid w:val="008677B0"/>
    <w:rsid w:val="00887F71"/>
    <w:rsid w:val="00892D2B"/>
    <w:rsid w:val="008D0F0A"/>
    <w:rsid w:val="008D4032"/>
    <w:rsid w:val="00911762"/>
    <w:rsid w:val="009132AF"/>
    <w:rsid w:val="00917155"/>
    <w:rsid w:val="00917373"/>
    <w:rsid w:val="00921B95"/>
    <w:rsid w:val="0095270E"/>
    <w:rsid w:val="00982887"/>
    <w:rsid w:val="00983F70"/>
    <w:rsid w:val="009D619E"/>
    <w:rsid w:val="009E627D"/>
    <w:rsid w:val="00A040E4"/>
    <w:rsid w:val="00A1194D"/>
    <w:rsid w:val="00A158A4"/>
    <w:rsid w:val="00A47844"/>
    <w:rsid w:val="00A54032"/>
    <w:rsid w:val="00A54E57"/>
    <w:rsid w:val="00A56FD4"/>
    <w:rsid w:val="00A8012D"/>
    <w:rsid w:val="00A82865"/>
    <w:rsid w:val="00A85832"/>
    <w:rsid w:val="00AD4901"/>
    <w:rsid w:val="00AE403A"/>
    <w:rsid w:val="00AF1900"/>
    <w:rsid w:val="00AF41F4"/>
    <w:rsid w:val="00B21792"/>
    <w:rsid w:val="00B33D38"/>
    <w:rsid w:val="00B37078"/>
    <w:rsid w:val="00B5743F"/>
    <w:rsid w:val="00B62411"/>
    <w:rsid w:val="00B71BFC"/>
    <w:rsid w:val="00B92DFA"/>
    <w:rsid w:val="00BB739E"/>
    <w:rsid w:val="00BB7FD4"/>
    <w:rsid w:val="00BC22B4"/>
    <w:rsid w:val="00BC7E15"/>
    <w:rsid w:val="00BF4098"/>
    <w:rsid w:val="00BF4A2A"/>
    <w:rsid w:val="00C04335"/>
    <w:rsid w:val="00C23C3B"/>
    <w:rsid w:val="00C3125E"/>
    <w:rsid w:val="00C35A74"/>
    <w:rsid w:val="00C3687D"/>
    <w:rsid w:val="00C421AD"/>
    <w:rsid w:val="00C76919"/>
    <w:rsid w:val="00CB73E9"/>
    <w:rsid w:val="00CD67AF"/>
    <w:rsid w:val="00CE776D"/>
    <w:rsid w:val="00D33172"/>
    <w:rsid w:val="00D65E18"/>
    <w:rsid w:val="00D67819"/>
    <w:rsid w:val="00D77341"/>
    <w:rsid w:val="00DD2B54"/>
    <w:rsid w:val="00E0228F"/>
    <w:rsid w:val="00E05F1C"/>
    <w:rsid w:val="00E1567A"/>
    <w:rsid w:val="00E2697C"/>
    <w:rsid w:val="00E72DEF"/>
    <w:rsid w:val="00E825CE"/>
    <w:rsid w:val="00E9101B"/>
    <w:rsid w:val="00EA003E"/>
    <w:rsid w:val="00EB1826"/>
    <w:rsid w:val="00EC3620"/>
    <w:rsid w:val="00F01937"/>
    <w:rsid w:val="00F024E0"/>
    <w:rsid w:val="00F15986"/>
    <w:rsid w:val="00F37D87"/>
    <w:rsid w:val="00F9205F"/>
    <w:rsid w:val="00F92CA8"/>
    <w:rsid w:val="00F958B5"/>
    <w:rsid w:val="00F9708F"/>
    <w:rsid w:val="00FA7152"/>
    <w:rsid w:val="00FB03E7"/>
    <w:rsid w:val="00FC0E94"/>
    <w:rsid w:val="00FC68FD"/>
    <w:rsid w:val="00FD1028"/>
    <w:rsid w:val="00FE0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819"/>
    <w:rPr>
      <w:sz w:val="24"/>
      <w:szCs w:val="24"/>
    </w:rPr>
  </w:style>
  <w:style w:type="paragraph" w:styleId="Heading1">
    <w:name w:val="heading 1"/>
    <w:basedOn w:val="Normal"/>
    <w:next w:val="Normal"/>
    <w:link w:val="Heading1Char"/>
    <w:uiPriority w:val="9"/>
    <w:qFormat/>
    <w:rsid w:val="00D6781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6781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D67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67819"/>
    <w:rPr>
      <w:rFonts w:ascii="Cambria" w:hAnsi="Cambria" w:cs="Times New Roman"/>
      <w:b/>
      <w:bCs/>
      <w:kern w:val="32"/>
      <w:sz w:val="32"/>
      <w:szCs w:val="32"/>
    </w:rPr>
  </w:style>
  <w:style w:type="character" w:customStyle="1" w:styleId="Heading2Char">
    <w:name w:val="Heading 2 Char"/>
    <w:basedOn w:val="DefaultParagraphFont"/>
    <w:link w:val="Heading2"/>
    <w:uiPriority w:val="9"/>
    <w:semiHidden/>
    <w:locked/>
    <w:rsid w:val="00D67819"/>
    <w:rPr>
      <w:rFonts w:ascii="Cambria" w:hAnsi="Cambria" w:cs="Times New Roman"/>
      <w:b/>
      <w:bCs/>
      <w:i/>
      <w:iCs/>
      <w:sz w:val="28"/>
      <w:szCs w:val="28"/>
    </w:rPr>
  </w:style>
  <w:style w:type="character" w:customStyle="1" w:styleId="Heading3Char">
    <w:name w:val="Heading 3 Char"/>
    <w:basedOn w:val="DefaultParagraphFont"/>
    <w:link w:val="Heading3"/>
    <w:uiPriority w:val="9"/>
    <w:locked/>
    <w:rsid w:val="00D67819"/>
    <w:rPr>
      <w:rFonts w:ascii="Arial" w:hAnsi="Arial" w:cs="Times New Roman"/>
      <w:b/>
      <w:sz w:val="26"/>
      <w:lang w:val="en-US" w:eastAsia="en-US"/>
    </w:rPr>
  </w:style>
  <w:style w:type="character" w:customStyle="1" w:styleId="caps">
    <w:name w:val="caps"/>
    <w:basedOn w:val="DefaultParagraphFont"/>
    <w:rsid w:val="00D67819"/>
    <w:rPr>
      <w:rFonts w:cs="Times New Roman"/>
    </w:rPr>
  </w:style>
  <w:style w:type="paragraph" w:styleId="Header">
    <w:name w:val="header"/>
    <w:basedOn w:val="Normal"/>
    <w:link w:val="HeaderChar"/>
    <w:rsid w:val="00D67819"/>
    <w:pPr>
      <w:tabs>
        <w:tab w:val="center" w:pos="4320"/>
        <w:tab w:val="right" w:pos="8640"/>
      </w:tabs>
    </w:pPr>
  </w:style>
  <w:style w:type="character" w:customStyle="1" w:styleId="HeaderChar">
    <w:name w:val="Header Char"/>
    <w:basedOn w:val="DefaultParagraphFont"/>
    <w:link w:val="Header"/>
    <w:uiPriority w:val="99"/>
    <w:semiHidden/>
    <w:locked/>
    <w:rsid w:val="00D67819"/>
    <w:rPr>
      <w:rFonts w:cs="Times New Roman"/>
      <w:sz w:val="24"/>
      <w:szCs w:val="24"/>
    </w:rPr>
  </w:style>
  <w:style w:type="paragraph" w:styleId="Footer">
    <w:name w:val="footer"/>
    <w:basedOn w:val="Normal"/>
    <w:link w:val="FooterChar"/>
    <w:rsid w:val="00D67819"/>
    <w:pPr>
      <w:tabs>
        <w:tab w:val="center" w:pos="4320"/>
        <w:tab w:val="right" w:pos="8640"/>
      </w:tabs>
    </w:pPr>
  </w:style>
  <w:style w:type="character" w:customStyle="1" w:styleId="FooterChar">
    <w:name w:val="Footer Char"/>
    <w:basedOn w:val="DefaultParagraphFont"/>
    <w:link w:val="Footer"/>
    <w:locked/>
    <w:rsid w:val="00D67819"/>
    <w:rPr>
      <w:rFonts w:cs="Times New Roman"/>
      <w:sz w:val="24"/>
      <w:szCs w:val="24"/>
    </w:rPr>
  </w:style>
  <w:style w:type="character" w:styleId="CommentReference">
    <w:name w:val="annotation reference"/>
    <w:basedOn w:val="DefaultParagraphFont"/>
    <w:uiPriority w:val="99"/>
    <w:semiHidden/>
    <w:rsid w:val="00D67819"/>
    <w:rPr>
      <w:rFonts w:cs="Times New Roman"/>
      <w:sz w:val="16"/>
    </w:rPr>
  </w:style>
  <w:style w:type="paragraph" w:styleId="CommentText">
    <w:name w:val="annotation text"/>
    <w:basedOn w:val="Normal"/>
    <w:link w:val="CommentTextChar"/>
    <w:uiPriority w:val="99"/>
    <w:semiHidden/>
    <w:rsid w:val="00D67819"/>
    <w:rPr>
      <w:sz w:val="20"/>
      <w:szCs w:val="20"/>
    </w:rPr>
  </w:style>
  <w:style w:type="character" w:customStyle="1" w:styleId="CommentTextChar">
    <w:name w:val="Comment Text Char"/>
    <w:basedOn w:val="DefaultParagraphFont"/>
    <w:link w:val="CommentText"/>
    <w:uiPriority w:val="99"/>
    <w:semiHidden/>
    <w:locked/>
    <w:rsid w:val="00D67819"/>
    <w:rPr>
      <w:rFonts w:cs="Times New Roman"/>
    </w:rPr>
  </w:style>
  <w:style w:type="paragraph" w:styleId="CommentSubject">
    <w:name w:val="annotation subject"/>
    <w:basedOn w:val="CommentText"/>
    <w:next w:val="CommentText"/>
    <w:link w:val="CommentSubjectChar"/>
    <w:uiPriority w:val="99"/>
    <w:semiHidden/>
    <w:rsid w:val="00D67819"/>
    <w:rPr>
      <w:b/>
      <w:bCs/>
    </w:rPr>
  </w:style>
  <w:style w:type="character" w:customStyle="1" w:styleId="CommentSubjectChar">
    <w:name w:val="Comment Subject Char"/>
    <w:basedOn w:val="CommentTextChar"/>
    <w:link w:val="CommentSubject"/>
    <w:uiPriority w:val="99"/>
    <w:semiHidden/>
    <w:locked/>
    <w:rsid w:val="00D67819"/>
    <w:rPr>
      <w:rFonts w:cs="Times New Roman"/>
      <w:b/>
      <w:bCs/>
    </w:rPr>
  </w:style>
  <w:style w:type="paragraph" w:styleId="BalloonText">
    <w:name w:val="Balloon Text"/>
    <w:basedOn w:val="Normal"/>
    <w:link w:val="BalloonTextChar"/>
    <w:uiPriority w:val="99"/>
    <w:semiHidden/>
    <w:rsid w:val="00D6781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7819"/>
    <w:rPr>
      <w:rFonts w:ascii="Tahoma" w:hAnsi="Tahoma" w:cs="Tahoma"/>
      <w:sz w:val="16"/>
      <w:szCs w:val="16"/>
    </w:rPr>
  </w:style>
  <w:style w:type="paragraph" w:styleId="Caption">
    <w:name w:val="caption"/>
    <w:basedOn w:val="Normal"/>
    <w:next w:val="Normal"/>
    <w:uiPriority w:val="35"/>
    <w:qFormat/>
    <w:rsid w:val="00892D2B"/>
    <w:rPr>
      <w:b/>
      <w:bCs/>
      <w:sz w:val="20"/>
      <w:szCs w:val="20"/>
    </w:rPr>
  </w:style>
  <w:style w:type="character" w:styleId="PageNumber">
    <w:name w:val="page number"/>
    <w:basedOn w:val="DefaultParagraphFont"/>
    <w:uiPriority w:val="99"/>
    <w:rsid w:val="00EC3620"/>
    <w:rPr>
      <w:rFonts w:cs="Times New Roman"/>
    </w:rPr>
  </w:style>
  <w:style w:type="paragraph" w:styleId="TOC1">
    <w:name w:val="toc 1"/>
    <w:basedOn w:val="Normal"/>
    <w:next w:val="Normal"/>
    <w:autoRedefine/>
    <w:uiPriority w:val="39"/>
    <w:rsid w:val="007135BB"/>
  </w:style>
  <w:style w:type="paragraph" w:styleId="TOC2">
    <w:name w:val="toc 2"/>
    <w:basedOn w:val="Normal"/>
    <w:next w:val="Normal"/>
    <w:autoRedefine/>
    <w:uiPriority w:val="39"/>
    <w:rsid w:val="007135BB"/>
    <w:pPr>
      <w:ind w:left="240"/>
    </w:pPr>
  </w:style>
  <w:style w:type="paragraph" w:styleId="TOC3">
    <w:name w:val="toc 3"/>
    <w:basedOn w:val="Normal"/>
    <w:next w:val="Normal"/>
    <w:autoRedefine/>
    <w:uiPriority w:val="39"/>
    <w:rsid w:val="007135BB"/>
    <w:pPr>
      <w:ind w:left="480"/>
    </w:pPr>
  </w:style>
  <w:style w:type="table" w:styleId="TableGrid">
    <w:name w:val="Table Grid"/>
    <w:basedOn w:val="TableNormal"/>
    <w:uiPriority w:val="59"/>
    <w:rsid w:val="004131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C3507"/>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TableContemporary">
    <w:name w:val="Table Contemporary"/>
    <w:basedOn w:val="TableNormal"/>
    <w:uiPriority w:val="99"/>
    <w:rsid w:val="000D48CE"/>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70337">
      <w:marLeft w:val="0"/>
      <w:marRight w:val="0"/>
      <w:marTop w:val="0"/>
      <w:marBottom w:val="0"/>
      <w:divBdr>
        <w:top w:val="none" w:sz="0" w:space="0" w:color="auto"/>
        <w:left w:val="none" w:sz="0" w:space="0" w:color="auto"/>
        <w:bottom w:val="none" w:sz="0" w:space="0" w:color="auto"/>
        <w:right w:val="none" w:sz="0" w:space="0" w:color="auto"/>
      </w:divBdr>
      <w:divsChild>
        <w:div w:id="230970336">
          <w:marLeft w:val="75"/>
          <w:marRight w:val="0"/>
          <w:marTop w:val="100"/>
          <w:marBottom w:val="100"/>
          <w:divBdr>
            <w:top w:val="none" w:sz="0" w:space="0" w:color="auto"/>
            <w:left w:val="single" w:sz="12" w:space="4" w:color="000000"/>
            <w:bottom w:val="none" w:sz="0" w:space="0" w:color="auto"/>
            <w:right w:val="none" w:sz="0" w:space="0" w:color="auto"/>
          </w:divBdr>
        </w:div>
      </w:divsChild>
    </w:div>
    <w:div w:id="2309703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chart" Target="charts/chart3.xml"/><Relationship Id="rId26" Type="http://schemas.openxmlformats.org/officeDocument/2006/relationships/chart" Target="charts/chart11.xml"/><Relationship Id="rId3" Type="http://schemas.microsoft.com/office/2007/relationships/stylesWithEffects" Target="stylesWithEffects.xml"/><Relationship Id="rId21" Type="http://schemas.openxmlformats.org/officeDocument/2006/relationships/chart" Target="charts/chart6.xm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chart" Target="charts/chart2.xml"/><Relationship Id="rId25" Type="http://schemas.openxmlformats.org/officeDocument/2006/relationships/chart" Target="charts/chart10.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chart" Target="charts/chart9.xml"/><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hart" Target="charts/chart8.xml"/><Relationship Id="rId28" Type="http://schemas.openxmlformats.org/officeDocument/2006/relationships/footer" Target="footer1.xml"/><Relationship Id="rId36" Type="http://schemas.openxmlformats.org/officeDocument/2006/relationships/footer" Target="footer5.xml"/><Relationship Id="rId10" Type="http://schemas.openxmlformats.org/officeDocument/2006/relationships/image" Target="media/image3.wmf"/><Relationship Id="rId19" Type="http://schemas.openxmlformats.org/officeDocument/2006/relationships/chart" Target="charts/chart4.xm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chart" Target="charts/chart7.xml"/><Relationship Id="rId27" Type="http://schemas.openxmlformats.org/officeDocument/2006/relationships/header" Target="header1.xml"/><Relationship Id="rId30" Type="http://schemas.openxmlformats.org/officeDocument/2006/relationships/footer" Target="footer3.xml"/><Relationship Id="rId35"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10.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3" Type="http://schemas.openxmlformats.org/officeDocument/2006/relationships/chartUserShapes" Target="../drawings/drawing11.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7.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3" Type="http://schemas.openxmlformats.org/officeDocument/2006/relationships/chartUserShapes" Target="../drawings/drawing9.xml"/><Relationship Id="rId2" Type="http://schemas.openxmlformats.org/officeDocument/2006/relationships/oleObject" Target="file:///C:\Projects\DEER2011\Web%20Doc\DEEER%20Database%20-%20Compare%20v2.05%20to%20v4.00%20-v1.xls"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Lighting - CFL, 20W, Indoor, Non-Reflector</c:v>
            </c:pt>
          </c:strCache>
        </c:strRef>
      </c:tx>
      <c:layout>
        <c:manualLayout>
          <c:xMode val="edge"/>
          <c:yMode val="edge"/>
          <c:x val="0.17972384998769195"/>
          <c:y val="8.0604544315001664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0.11827974732344977"/>
          <c:y val="0.19143600371438596"/>
          <c:w val="0.87250514908726451"/>
          <c:h val="0.6070536433574607"/>
        </c:manualLayout>
      </c:layout>
      <c:lineChart>
        <c:grouping val="standard"/>
        <c:varyColors val="0"/>
        <c:ser>
          <c:idx val="0"/>
          <c:order val="0"/>
          <c:tx>
            <c:v>Gas Impact therm/unit (v4.00)</c:v>
          </c:tx>
          <c:spPr>
            <a:ln w="12700">
              <a:solidFill>
                <a:srgbClr val="FF0000"/>
              </a:solidFill>
              <a:prstDash val="solid"/>
            </a:ln>
          </c:spPr>
          <c:marker>
            <c:symbol val="diamond"/>
            <c:size val="6"/>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v4.00 -v1.xls]Non-Residential'!$X$109:$X$124</c:f>
              <c:numCache>
                <c:formatCode>0.000</c:formatCode>
                <c:ptCount val="16"/>
                <c:pt idx="0">
                  <c:v>-1.0594308904723695</c:v>
                </c:pt>
                <c:pt idx="1">
                  <c:v>-0.96049266197914218</c:v>
                </c:pt>
                <c:pt idx="2">
                  <c:v>-0.66466330045774169</c:v>
                </c:pt>
                <c:pt idx="3">
                  <c:v>-0.65427209664480313</c:v>
                </c:pt>
                <c:pt idx="4">
                  <c:v>-0.41941767731584234</c:v>
                </c:pt>
                <c:pt idx="5">
                  <c:v>-0.15045160681421371</c:v>
                </c:pt>
                <c:pt idx="6">
                  <c:v>-0.10060969279411071</c:v>
                </c:pt>
                <c:pt idx="7">
                  <c:v>-0.17866263979991506</c:v>
                </c:pt>
                <c:pt idx="8">
                  <c:v>-0.19163890330800817</c:v>
                </c:pt>
                <c:pt idx="9">
                  <c:v>-0.2184823745929878</c:v>
                </c:pt>
                <c:pt idx="10">
                  <c:v>-1.2300882450096731</c:v>
                </c:pt>
                <c:pt idx="11">
                  <c:v>-1.0102873861544996</c:v>
                </c:pt>
                <c:pt idx="12">
                  <c:v>-0.7492577037421545</c:v>
                </c:pt>
                <c:pt idx="13">
                  <c:v>-0.78122787976027552</c:v>
                </c:pt>
                <c:pt idx="14">
                  <c:v>-6.8721155207399368E-2</c:v>
                </c:pt>
                <c:pt idx="15">
                  <c:v>-2.3754518427634372</c:v>
                </c:pt>
              </c:numCache>
            </c:numRef>
          </c:val>
          <c:smooth val="0"/>
        </c:ser>
        <c:ser>
          <c:idx val="2"/>
          <c:order val="1"/>
          <c:tx>
            <c:v>Gas Impact therm/unit (2.05)</c:v>
          </c:tx>
          <c:spPr>
            <a:ln w="12700">
              <a:solidFill>
                <a:srgbClr val="339966"/>
              </a:solidFill>
              <a:prstDash val="solid"/>
            </a:ln>
          </c:spPr>
          <c:marker>
            <c:symbol val="triangle"/>
            <c:size val="5"/>
            <c:spPr>
              <a:solidFill>
                <a:srgbClr val="339966"/>
              </a:solidFill>
              <a:ln>
                <a:solidFill>
                  <a:srgbClr val="339966"/>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v4.00 -v1.xls]Non-Residential'!$W$109:$W$124</c:f>
              <c:numCache>
                <c:formatCode>0.000</c:formatCode>
                <c:ptCount val="16"/>
                <c:pt idx="0">
                  <c:v>-1.1050849056603773</c:v>
                </c:pt>
                <c:pt idx="1">
                  <c:v>-1.0115754716981133</c:v>
                </c:pt>
                <c:pt idx="2">
                  <c:v>-0.69644811320754774</c:v>
                </c:pt>
                <c:pt idx="3">
                  <c:v>-0.68669528301886873</c:v>
                </c:pt>
                <c:pt idx="4">
                  <c:v>-0.43135943396226462</c:v>
                </c:pt>
                <c:pt idx="5">
                  <c:v>-0.1565132075471701</c:v>
                </c:pt>
                <c:pt idx="6">
                  <c:v>-0.10671886792452831</c:v>
                </c:pt>
                <c:pt idx="7">
                  <c:v>-0.18611132075471698</c:v>
                </c:pt>
                <c:pt idx="8">
                  <c:v>-0.19990471698113224</c:v>
                </c:pt>
                <c:pt idx="9">
                  <c:v>-0.22991886792452837</c:v>
                </c:pt>
                <c:pt idx="10">
                  <c:v>-1.3504056603773584</c:v>
                </c:pt>
                <c:pt idx="11">
                  <c:v>-1.1006226415094338</c:v>
                </c:pt>
                <c:pt idx="12">
                  <c:v>-0.79033113207547212</c:v>
                </c:pt>
                <c:pt idx="13">
                  <c:v>-0.84074622641509533</c:v>
                </c:pt>
                <c:pt idx="14">
                  <c:v>-7.3196226415094406E-2</c:v>
                </c:pt>
                <c:pt idx="15">
                  <c:v>-2.7389622641509432</c:v>
                </c:pt>
              </c:numCache>
            </c:numRef>
          </c:val>
          <c:smooth val="0"/>
        </c:ser>
        <c:dLbls>
          <c:showLegendKey val="0"/>
          <c:showVal val="0"/>
          <c:showCatName val="0"/>
          <c:showSerName val="0"/>
          <c:showPercent val="0"/>
          <c:showBubbleSize val="0"/>
        </c:dLbls>
        <c:marker val="1"/>
        <c:smooth val="0"/>
        <c:axId val="100438016"/>
        <c:axId val="100995072"/>
      </c:lineChart>
      <c:catAx>
        <c:axId val="100438016"/>
        <c:scaling>
          <c:orientation val="minMax"/>
        </c:scaling>
        <c:delete val="0"/>
        <c:axPos val="b"/>
        <c:title>
          <c:tx>
            <c:rich>
              <a:bodyPr/>
              <a:lstStyle/>
              <a:p>
                <a:pPr>
                  <a:defRPr sz="825" b="1" i="0" u="none" strike="noStrike" baseline="0">
                    <a:solidFill>
                      <a:srgbClr val="000000"/>
                    </a:solidFill>
                    <a:latin typeface="Arial"/>
                    <a:ea typeface="Arial"/>
                    <a:cs typeface="Arial"/>
                  </a:defRPr>
                </a:pPr>
                <a:r>
                  <a:rPr lang="en-US"/>
                  <a:t>Clmate Zone</a:t>
                </a:r>
              </a:p>
            </c:rich>
          </c:tx>
          <c:layout>
            <c:manualLayout>
              <c:xMode val="edge"/>
              <c:yMode val="edge"/>
              <c:x val="0.49769661861694831"/>
              <c:y val="0.8664998746501728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100995072"/>
        <c:crossesAt val="-9"/>
        <c:auto val="1"/>
        <c:lblAlgn val="ctr"/>
        <c:lblOffset val="100"/>
        <c:tickLblSkip val="1"/>
        <c:tickMarkSkip val="1"/>
        <c:noMultiLvlLbl val="0"/>
      </c:catAx>
      <c:valAx>
        <c:axId val="100995072"/>
        <c:scaling>
          <c:orientation val="minMax"/>
        </c:scaling>
        <c:delete val="0"/>
        <c:axPos val="l"/>
        <c:majorGridlines>
          <c:spPr>
            <a:ln w="3175">
              <a:solidFill>
                <a:srgbClr val="000000"/>
              </a:solidFill>
              <a:prstDash val="solid"/>
            </a:ln>
          </c:spPr>
        </c:majorGridlines>
        <c:title>
          <c:tx>
            <c:rich>
              <a:bodyPr/>
              <a:lstStyle/>
              <a:p>
                <a:pPr>
                  <a:defRPr sz="1000" b="0" i="0" u="none" strike="noStrike" baseline="0">
                    <a:solidFill>
                      <a:srgbClr val="000000"/>
                    </a:solidFill>
                    <a:latin typeface="Arial"/>
                    <a:ea typeface="Arial"/>
                    <a:cs typeface="Arial"/>
                  </a:defRPr>
                </a:pPr>
                <a:r>
                  <a:rPr lang="en-US"/>
                  <a:t>therms per unit</a:t>
                </a:r>
              </a:p>
            </c:rich>
          </c:tx>
          <c:layout>
            <c:manualLayout>
              <c:xMode val="edge"/>
              <c:yMode val="edge"/>
              <c:x val="1.9969245622616309E-2"/>
              <c:y val="0.38035307721037825"/>
            </c:manualLayout>
          </c:layout>
          <c:overlay val="0"/>
          <c:spPr>
            <a:noFill/>
            <a:ln w="25400">
              <a:noFill/>
            </a:ln>
          </c:spPr>
        </c:title>
        <c:numFmt formatCode="0.000" sourceLinked="1"/>
        <c:majorTickMark val="out"/>
        <c:minorTickMark val="none"/>
        <c:tickLblPos val="nextTo"/>
        <c:spPr>
          <a:ln w="3175">
            <a:solidFill>
              <a:srgbClr val="0000FF"/>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100438016"/>
        <c:crosses val="autoZero"/>
        <c:crossBetween val="between"/>
      </c:valAx>
      <c:spPr>
        <a:noFill/>
        <a:ln w="25400">
          <a:solidFill>
            <a:srgbClr val="000000"/>
          </a:solidFill>
          <a:prstDash val="solid"/>
        </a:ln>
      </c:spPr>
    </c:plotArea>
    <c:legend>
      <c:legendPos val="r"/>
      <c:layout>
        <c:manualLayout>
          <c:xMode val="edge"/>
          <c:yMode val="edge"/>
          <c:x val="0.28989069728037992"/>
          <c:y val="0.92787703437655134"/>
          <c:w val="0.52740624230740951"/>
          <c:h val="5.4580896686159841E-2"/>
        </c:manualLayout>
      </c:layout>
      <c:overlay val="0"/>
      <c:spPr>
        <a:noFill/>
        <a:ln w="3175">
          <a:solidFill>
            <a:srgbClr val="000000"/>
          </a:solidFill>
          <a:prstDash val="solid"/>
        </a:ln>
      </c:spPr>
      <c:txPr>
        <a:bodyPr/>
        <a:lstStyle/>
        <a:p>
          <a:pPr>
            <a:defRPr sz="75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v4.00 -v1.xls]Residential'!$R$81</c:f>
          <c:strCache>
            <c:ptCount val="1"/>
            <c:pt idx="0">
              <c:v>Appliance - Large Top Freezer Refrigerator</c:v>
            </c:pt>
          </c:strCache>
        </c:strRef>
      </c:tx>
      <c:layout>
        <c:manualLayout>
          <c:xMode val="edge"/>
          <c:yMode val="edge"/>
          <c:x val="0.27856072536387544"/>
          <c:y val="8.0200767055280897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0.11111128091879542"/>
          <c:y val="0.15037630789940659"/>
          <c:w val="0.77934391405014303"/>
          <c:h val="0.70927491892553385"/>
        </c:manualLayout>
      </c:layout>
      <c:lineChart>
        <c:grouping val="standard"/>
        <c:varyColors val="0"/>
        <c:ser>
          <c:idx val="1"/>
          <c:order val="1"/>
          <c:tx>
            <c:v>Energy Impact kWh/unit (4.00)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v4.00 -v1.xls]Residential'!$R$109:$R$124</c:f>
              <c:numCache>
                <c:formatCode>0.0</c:formatCode>
                <c:ptCount val="16"/>
                <c:pt idx="0">
                  <c:v>143.14399999999998</c:v>
                </c:pt>
                <c:pt idx="1">
                  <c:v>173.453</c:v>
                </c:pt>
                <c:pt idx="2">
                  <c:v>163.94800000000001</c:v>
                </c:pt>
                <c:pt idx="3">
                  <c:v>179.46200000000007</c:v>
                </c:pt>
                <c:pt idx="4">
                  <c:v>167.72800000000001</c:v>
                </c:pt>
                <c:pt idx="5">
                  <c:v>189.12900000000002</c:v>
                </c:pt>
                <c:pt idx="6">
                  <c:v>190.04499999999999</c:v>
                </c:pt>
                <c:pt idx="7">
                  <c:v>198.376</c:v>
                </c:pt>
                <c:pt idx="8">
                  <c:v>205.64599999999999</c:v>
                </c:pt>
                <c:pt idx="9">
                  <c:v>205.84399999999999</c:v>
                </c:pt>
                <c:pt idx="10">
                  <c:v>193.48800000000011</c:v>
                </c:pt>
                <c:pt idx="11">
                  <c:v>187.38300000000001</c:v>
                </c:pt>
                <c:pt idx="12">
                  <c:v>210.52</c:v>
                </c:pt>
                <c:pt idx="13">
                  <c:v>206.017</c:v>
                </c:pt>
                <c:pt idx="14">
                  <c:v>256.91699999999958</c:v>
                </c:pt>
                <c:pt idx="15">
                  <c:v>160.678</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v4.00 -v1.xls]Residential'!$Q$109:$Q$124</c:f>
              <c:numCache>
                <c:formatCode>0.0</c:formatCode>
                <c:ptCount val="16"/>
                <c:pt idx="0">
                  <c:v>144.11099999999999</c:v>
                </c:pt>
                <c:pt idx="1">
                  <c:v>171.04499999999999</c:v>
                </c:pt>
                <c:pt idx="2">
                  <c:v>161.476</c:v>
                </c:pt>
                <c:pt idx="3">
                  <c:v>176.608</c:v>
                </c:pt>
                <c:pt idx="4">
                  <c:v>161.53900000000002</c:v>
                </c:pt>
                <c:pt idx="5">
                  <c:v>178.489</c:v>
                </c:pt>
                <c:pt idx="6">
                  <c:v>181.01499999999999</c:v>
                </c:pt>
                <c:pt idx="7">
                  <c:v>188.97900000000001</c:v>
                </c:pt>
                <c:pt idx="8">
                  <c:v>198.79900000000001</c:v>
                </c:pt>
                <c:pt idx="9">
                  <c:v>199.10399999999998</c:v>
                </c:pt>
                <c:pt idx="10">
                  <c:v>189.36</c:v>
                </c:pt>
                <c:pt idx="11">
                  <c:v>182.67499999999998</c:v>
                </c:pt>
                <c:pt idx="12">
                  <c:v>206.50899999999999</c:v>
                </c:pt>
                <c:pt idx="13">
                  <c:v>200.03399999999999</c:v>
                </c:pt>
                <c:pt idx="14">
                  <c:v>245.46600000000001</c:v>
                </c:pt>
                <c:pt idx="15">
                  <c:v>158.92700000000011</c:v>
                </c:pt>
              </c:numCache>
            </c:numRef>
          </c:val>
          <c:smooth val="0"/>
        </c:ser>
        <c:dLbls>
          <c:showLegendKey val="0"/>
          <c:showVal val="0"/>
          <c:showCatName val="0"/>
          <c:showSerName val="0"/>
          <c:showPercent val="0"/>
          <c:showBubbleSize val="0"/>
        </c:dLbls>
        <c:marker val="1"/>
        <c:smooth val="0"/>
        <c:axId val="80547200"/>
        <c:axId val="80557568"/>
      </c:lineChart>
      <c:lineChart>
        <c:grouping val="standard"/>
        <c:varyColors val="0"/>
        <c:ser>
          <c:idx val="0"/>
          <c:order val="0"/>
          <c:tx>
            <c:v>Demand Impact W/unit (4.00)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v4.00 -v1.xls]Residential'!$P$109:$P$124</c:f>
              <c:numCache>
                <c:formatCode>0.000</c:formatCode>
                <c:ptCount val="16"/>
                <c:pt idx="0">
                  <c:v>28.338999999999999</c:v>
                </c:pt>
                <c:pt idx="1">
                  <c:v>46.689</c:v>
                </c:pt>
                <c:pt idx="2">
                  <c:v>39.42</c:v>
                </c:pt>
                <c:pt idx="3">
                  <c:v>43.717000000000006</c:v>
                </c:pt>
                <c:pt idx="4">
                  <c:v>30.07</c:v>
                </c:pt>
                <c:pt idx="5">
                  <c:v>44.408000000000001</c:v>
                </c:pt>
                <c:pt idx="6">
                  <c:v>24.259999999999987</c:v>
                </c:pt>
                <c:pt idx="7">
                  <c:v>36.651000000000003</c:v>
                </c:pt>
                <c:pt idx="8">
                  <c:v>41.501000000000005</c:v>
                </c:pt>
                <c:pt idx="9">
                  <c:v>44.757000000000005</c:v>
                </c:pt>
                <c:pt idx="10">
                  <c:v>43.761000000000003</c:v>
                </c:pt>
                <c:pt idx="11">
                  <c:v>43.195000000000029</c:v>
                </c:pt>
                <c:pt idx="12">
                  <c:v>44.051000000000002</c:v>
                </c:pt>
                <c:pt idx="13">
                  <c:v>38.075000000000003</c:v>
                </c:pt>
                <c:pt idx="14">
                  <c:v>45.155000000000001</c:v>
                </c:pt>
                <c:pt idx="15">
                  <c:v>40.868000000000002</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v4.00 -v1.xls]Residential'!$O$109:$O$124</c:f>
              <c:numCache>
                <c:formatCode>0.000</c:formatCode>
                <c:ptCount val="16"/>
                <c:pt idx="0">
                  <c:v>25.967999999999989</c:v>
                </c:pt>
                <c:pt idx="1">
                  <c:v>49.055</c:v>
                </c:pt>
                <c:pt idx="2">
                  <c:v>39.932000000000002</c:v>
                </c:pt>
                <c:pt idx="3">
                  <c:v>46.319000000000003</c:v>
                </c:pt>
                <c:pt idx="4">
                  <c:v>37.744</c:v>
                </c:pt>
                <c:pt idx="5">
                  <c:v>27.154999999999998</c:v>
                </c:pt>
                <c:pt idx="6">
                  <c:v>35.1</c:v>
                </c:pt>
                <c:pt idx="7">
                  <c:v>38.947000000000003</c:v>
                </c:pt>
                <c:pt idx="8">
                  <c:v>41.283000000000001</c:v>
                </c:pt>
                <c:pt idx="9">
                  <c:v>48.993000000000002</c:v>
                </c:pt>
                <c:pt idx="10">
                  <c:v>41.368000000000002</c:v>
                </c:pt>
                <c:pt idx="11">
                  <c:v>39.435000000000002</c:v>
                </c:pt>
                <c:pt idx="12">
                  <c:v>43.386999999999993</c:v>
                </c:pt>
                <c:pt idx="13">
                  <c:v>39.976000000000006</c:v>
                </c:pt>
                <c:pt idx="14">
                  <c:v>46.095000000000013</c:v>
                </c:pt>
                <c:pt idx="15">
                  <c:v>41.584000000000003</c:v>
                </c:pt>
              </c:numCache>
            </c:numRef>
          </c:val>
          <c:smooth val="0"/>
        </c:ser>
        <c:dLbls>
          <c:showLegendKey val="0"/>
          <c:showVal val="0"/>
          <c:showCatName val="0"/>
          <c:showSerName val="0"/>
          <c:showPercent val="0"/>
          <c:showBubbleSize val="0"/>
        </c:dLbls>
        <c:marker val="1"/>
        <c:smooth val="0"/>
        <c:axId val="80559488"/>
        <c:axId val="80561280"/>
      </c:lineChart>
      <c:catAx>
        <c:axId val="80547200"/>
        <c:scaling>
          <c:orientation val="minMax"/>
        </c:scaling>
        <c:delete val="0"/>
        <c:axPos val="b"/>
        <c:title>
          <c:tx>
            <c:rich>
              <a:bodyPr/>
              <a:lstStyle/>
              <a:p>
                <a:pPr>
                  <a:defRPr sz="1000" b="1" i="0" u="none" strike="noStrike" baseline="0">
                    <a:solidFill>
                      <a:srgbClr val="000000"/>
                    </a:solidFill>
                    <a:latin typeface="Arial"/>
                    <a:ea typeface="Arial"/>
                    <a:cs typeface="Arial"/>
                  </a:defRPr>
                </a:pPr>
                <a:r>
                  <a:rPr lang="en-US"/>
                  <a:t>Climate Zone</a:t>
                </a:r>
              </a:p>
            </c:rich>
          </c:tx>
          <c:layout>
            <c:manualLayout>
              <c:xMode val="edge"/>
              <c:yMode val="edge"/>
              <c:x val="0.43192555476020061"/>
              <c:y val="0.9273207491505421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80557568"/>
        <c:crosses val="autoZero"/>
        <c:auto val="1"/>
        <c:lblAlgn val="ctr"/>
        <c:lblOffset val="100"/>
        <c:tickLblSkip val="1"/>
        <c:tickMarkSkip val="1"/>
        <c:noMultiLvlLbl val="0"/>
      </c:catAx>
      <c:valAx>
        <c:axId val="80557568"/>
        <c:scaling>
          <c:orientation val="minMax"/>
          <c:min val="0"/>
        </c:scaling>
        <c:delete val="0"/>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Arial"/>
                    <a:ea typeface="Arial"/>
                    <a:cs typeface="Arial"/>
                  </a:defRPr>
                </a:pPr>
                <a:r>
                  <a:rPr lang="en-US"/>
                  <a:t>energ (kWh) impact per unit</a:t>
                </a:r>
              </a:p>
            </c:rich>
          </c:tx>
          <c:layout>
            <c:manualLayout>
              <c:xMode val="edge"/>
              <c:yMode val="edge"/>
              <c:x val="2.0344229698560399E-2"/>
              <c:y val="0.3333340963193559"/>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00" b="0" i="0" u="none" strike="noStrike" baseline="0">
                <a:solidFill>
                  <a:srgbClr val="0000FF"/>
                </a:solidFill>
                <a:latin typeface="Arial"/>
                <a:ea typeface="Arial"/>
                <a:cs typeface="Arial"/>
              </a:defRPr>
            </a:pPr>
            <a:endParaRPr lang="en-US"/>
          </a:p>
        </c:txPr>
        <c:crossAx val="80547200"/>
        <c:crosses val="autoZero"/>
        <c:crossBetween val="between"/>
      </c:valAx>
      <c:catAx>
        <c:axId val="80559488"/>
        <c:scaling>
          <c:orientation val="minMax"/>
        </c:scaling>
        <c:delete val="1"/>
        <c:axPos val="b"/>
        <c:majorTickMark val="out"/>
        <c:minorTickMark val="none"/>
        <c:tickLblPos val="none"/>
        <c:crossAx val="80561280"/>
        <c:crosses val="autoZero"/>
        <c:auto val="1"/>
        <c:lblAlgn val="ctr"/>
        <c:lblOffset val="100"/>
        <c:noMultiLvlLbl val="0"/>
      </c:catAx>
      <c:valAx>
        <c:axId val="80561280"/>
        <c:scaling>
          <c:orientation val="minMax"/>
          <c:min val="0"/>
        </c:scaling>
        <c:delete val="0"/>
        <c:axPos val="r"/>
        <c:title>
          <c:tx>
            <c:rich>
              <a:bodyPr/>
              <a:lstStyle/>
              <a:p>
                <a:pPr>
                  <a:defRPr sz="800" b="0" i="0" u="none" strike="noStrike" baseline="0">
                    <a:solidFill>
                      <a:srgbClr val="000000"/>
                    </a:solidFill>
                    <a:latin typeface="Arial"/>
                    <a:ea typeface="Arial"/>
                    <a:cs typeface="Arial"/>
                  </a:defRPr>
                </a:pPr>
                <a:r>
                  <a:rPr lang="en-US"/>
                  <a:t>demand (kW) impact per unit</a:t>
                </a:r>
              </a:p>
            </c:rich>
          </c:tx>
          <c:layout>
            <c:manualLayout>
              <c:xMode val="edge"/>
              <c:yMode val="edge"/>
              <c:x val="0.94835822794877955"/>
              <c:y val="0.32832153248285867"/>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00" b="0" i="0" u="none" strike="noStrike" baseline="0">
                <a:solidFill>
                  <a:srgbClr val="FF0000"/>
                </a:solidFill>
                <a:latin typeface="Arial"/>
                <a:ea typeface="Arial"/>
                <a:cs typeface="Arial"/>
              </a:defRPr>
            </a:pPr>
            <a:endParaRPr lang="en-US"/>
          </a:p>
        </c:txPr>
        <c:crossAx val="80559488"/>
        <c:crosses val="max"/>
        <c:crossBetween val="between"/>
      </c:valAx>
      <c:spPr>
        <a:solidFill>
          <a:srgbClr val="FFFFFF"/>
        </a:solidFill>
        <a:ln w="25400">
          <a:solidFill>
            <a:srgbClr val="000000"/>
          </a:solidFill>
          <a:prstDash val="solid"/>
        </a:ln>
      </c:spPr>
    </c:plotArea>
    <c:legend>
      <c:legendPos val="r"/>
      <c:layout>
        <c:manualLayout>
          <c:xMode val="edge"/>
          <c:yMode val="edge"/>
          <c:x val="0.51191919191919188"/>
          <c:y val="0.63501368288266258"/>
          <c:w val="0.2945456136164798"/>
          <c:h val="0.18604702028525516"/>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v4.00 -v1.xls]Residential'!$R$81</c:f>
          <c:strCache>
            <c:ptCount val="1"/>
            <c:pt idx="0">
              <c:v>HVAC - SEER 14 split system with gas furnace</c:v>
            </c:pt>
          </c:strCache>
        </c:strRef>
      </c:tx>
      <c:layout>
        <c:manualLayout>
          <c:xMode val="edge"/>
          <c:yMode val="edge"/>
          <c:x val="0.27856072536387544"/>
          <c:y val="8.0200767055280897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0.11111128091879542"/>
          <c:y val="0.15037630789940659"/>
          <c:w val="0.77934391405014303"/>
          <c:h val="0.70927491892553385"/>
        </c:manualLayout>
      </c:layout>
      <c:lineChart>
        <c:grouping val="standard"/>
        <c:varyColors val="0"/>
        <c:ser>
          <c:idx val="1"/>
          <c:order val="1"/>
          <c:tx>
            <c:v>Energy Impact kWh/unit (4.00)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v4.00 -v1.xls]Residential'!$R$109:$R$124</c:f>
              <c:numCache>
                <c:formatCode>0.0</c:formatCode>
                <c:ptCount val="16"/>
                <c:pt idx="0">
                  <c:v>21.256132823430633</c:v>
                </c:pt>
                <c:pt idx="1">
                  <c:v>20.298857435197814</c:v>
                </c:pt>
                <c:pt idx="2">
                  <c:v>15.486972800959844</c:v>
                </c:pt>
                <c:pt idx="3">
                  <c:v>22.200273617255654</c:v>
                </c:pt>
                <c:pt idx="4">
                  <c:v>14.302986688201749</c:v>
                </c:pt>
                <c:pt idx="5">
                  <c:v>10.779970561755999</c:v>
                </c:pt>
                <c:pt idx="6">
                  <c:v>17.063894727960424</c:v>
                </c:pt>
                <c:pt idx="7">
                  <c:v>16.6149209652833</c:v>
                </c:pt>
                <c:pt idx="8">
                  <c:v>22.587677997243912</c:v>
                </c:pt>
                <c:pt idx="9">
                  <c:v>27.785488090320783</c:v>
                </c:pt>
                <c:pt idx="10">
                  <c:v>38.410462204007274</c:v>
                </c:pt>
                <c:pt idx="11">
                  <c:v>26.23971430204676</c:v>
                </c:pt>
                <c:pt idx="12">
                  <c:v>45.939898453182153</c:v>
                </c:pt>
                <c:pt idx="13">
                  <c:v>51.890826259223644</c:v>
                </c:pt>
                <c:pt idx="14">
                  <c:v>54.652586307844594</c:v>
                </c:pt>
                <c:pt idx="15">
                  <c:v>41.088309750638992</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v4.00 -v1.xls]Residential'!$Q$109:$Q$124</c:f>
              <c:numCache>
                <c:formatCode>0.0</c:formatCode>
                <c:ptCount val="16"/>
                <c:pt idx="0">
                  <c:v>21.56431303050087</c:v>
                </c:pt>
                <c:pt idx="1">
                  <c:v>19.646085071136227</c:v>
                </c:pt>
                <c:pt idx="2">
                  <c:v>15.041217457860272</c:v>
                </c:pt>
                <c:pt idx="3">
                  <c:v>21.29740774301299</c:v>
                </c:pt>
                <c:pt idx="4">
                  <c:v>14.287454086018704</c:v>
                </c:pt>
                <c:pt idx="5">
                  <c:v>9.6302785200851595</c:v>
                </c:pt>
                <c:pt idx="6">
                  <c:v>15.561082802314106</c:v>
                </c:pt>
                <c:pt idx="7">
                  <c:v>18.068701488404937</c:v>
                </c:pt>
                <c:pt idx="8">
                  <c:v>23.272278364722087</c:v>
                </c:pt>
                <c:pt idx="9">
                  <c:v>26.272834916701086</c:v>
                </c:pt>
                <c:pt idx="10">
                  <c:v>35.678790983606554</c:v>
                </c:pt>
                <c:pt idx="11">
                  <c:v>25.162931472806648</c:v>
                </c:pt>
                <c:pt idx="12">
                  <c:v>43.345141102845652</c:v>
                </c:pt>
                <c:pt idx="13">
                  <c:v>47.294062573898096</c:v>
                </c:pt>
                <c:pt idx="14">
                  <c:v>50.117632029977536</c:v>
                </c:pt>
                <c:pt idx="15">
                  <c:v>40.405899546282804</c:v>
                </c:pt>
              </c:numCache>
            </c:numRef>
          </c:val>
          <c:smooth val="0"/>
        </c:ser>
        <c:dLbls>
          <c:showLegendKey val="0"/>
          <c:showVal val="0"/>
          <c:showCatName val="0"/>
          <c:showSerName val="0"/>
          <c:showPercent val="0"/>
          <c:showBubbleSize val="0"/>
        </c:dLbls>
        <c:marker val="1"/>
        <c:smooth val="0"/>
        <c:axId val="80594816"/>
        <c:axId val="98832384"/>
      </c:lineChart>
      <c:lineChart>
        <c:grouping val="standard"/>
        <c:varyColors val="0"/>
        <c:ser>
          <c:idx val="0"/>
          <c:order val="0"/>
          <c:tx>
            <c:v>Demand Impact W/unit (4.00)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v4.00 -v1.xls]Residential'!$P$109:$P$124</c:f>
              <c:numCache>
                <c:formatCode>0.000</c:formatCode>
                <c:ptCount val="16"/>
                <c:pt idx="0">
                  <c:v>4.1017628952523131</c:v>
                </c:pt>
                <c:pt idx="1">
                  <c:v>34.001961118690268</c:v>
                </c:pt>
                <c:pt idx="2">
                  <c:v>8.0873099876916488</c:v>
                </c:pt>
                <c:pt idx="3">
                  <c:v>47.252634010269524</c:v>
                </c:pt>
                <c:pt idx="4">
                  <c:v>12.995284862062686</c:v>
                </c:pt>
                <c:pt idx="5">
                  <c:v>8.8637695242722678</c:v>
                </c:pt>
                <c:pt idx="6">
                  <c:v>22.812365869495835</c:v>
                </c:pt>
                <c:pt idx="7">
                  <c:v>71.496901940941214</c:v>
                </c:pt>
                <c:pt idx="8">
                  <c:v>50.346807533302638</c:v>
                </c:pt>
                <c:pt idx="9">
                  <c:v>68.426820872917531</c:v>
                </c:pt>
                <c:pt idx="10">
                  <c:v>52.618966302367937</c:v>
                </c:pt>
                <c:pt idx="11">
                  <c:v>66.082093032351537</c:v>
                </c:pt>
                <c:pt idx="12">
                  <c:v>75.165603967410547</c:v>
                </c:pt>
                <c:pt idx="13">
                  <c:v>88.584824164740297</c:v>
                </c:pt>
                <c:pt idx="14">
                  <c:v>66.868858916081933</c:v>
                </c:pt>
                <c:pt idx="15">
                  <c:v>58.976201249862385</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v4.00 -v1.xls]Residential'!$O$109:$O$124</c:f>
              <c:numCache>
                <c:formatCode>0.000</c:formatCode>
                <c:ptCount val="16"/>
                <c:pt idx="0">
                  <c:v>3.599944035071355</c:v>
                </c:pt>
                <c:pt idx="1">
                  <c:v>31.059064997076607</c:v>
                </c:pt>
                <c:pt idx="2">
                  <c:v>7.180905163645888</c:v>
                </c:pt>
                <c:pt idx="3">
                  <c:v>43.112129772755537</c:v>
                </c:pt>
                <c:pt idx="4">
                  <c:v>12.041837080261548</c:v>
                </c:pt>
                <c:pt idx="5">
                  <c:v>6.6947711390885543</c:v>
                </c:pt>
                <c:pt idx="6">
                  <c:v>21.507470954440581</c:v>
                </c:pt>
                <c:pt idx="7">
                  <c:v>67.226131260959349</c:v>
                </c:pt>
                <c:pt idx="8">
                  <c:v>48.212850252641246</c:v>
                </c:pt>
                <c:pt idx="9">
                  <c:v>59.711689384551839</c:v>
                </c:pt>
                <c:pt idx="10">
                  <c:v>46.18027094717668</c:v>
                </c:pt>
                <c:pt idx="11">
                  <c:v>58.340629221461022</c:v>
                </c:pt>
                <c:pt idx="12">
                  <c:v>68.557385759829899</c:v>
                </c:pt>
                <c:pt idx="13">
                  <c:v>77.958940403743043</c:v>
                </c:pt>
                <c:pt idx="14">
                  <c:v>58.771729989248094</c:v>
                </c:pt>
                <c:pt idx="15">
                  <c:v>54.721532610157944</c:v>
                </c:pt>
              </c:numCache>
            </c:numRef>
          </c:val>
          <c:smooth val="0"/>
        </c:ser>
        <c:dLbls>
          <c:showLegendKey val="0"/>
          <c:showVal val="0"/>
          <c:showCatName val="0"/>
          <c:showSerName val="0"/>
          <c:showPercent val="0"/>
          <c:showBubbleSize val="0"/>
        </c:dLbls>
        <c:marker val="1"/>
        <c:smooth val="0"/>
        <c:axId val="98834304"/>
        <c:axId val="98835840"/>
      </c:lineChart>
      <c:catAx>
        <c:axId val="80594816"/>
        <c:scaling>
          <c:orientation val="minMax"/>
        </c:scaling>
        <c:delete val="0"/>
        <c:axPos val="b"/>
        <c:title>
          <c:tx>
            <c:rich>
              <a:bodyPr/>
              <a:lstStyle/>
              <a:p>
                <a:pPr>
                  <a:defRPr sz="1000" b="1" i="0" u="none" strike="noStrike" baseline="0">
                    <a:solidFill>
                      <a:srgbClr val="000000"/>
                    </a:solidFill>
                    <a:latin typeface="Arial"/>
                    <a:ea typeface="Arial"/>
                    <a:cs typeface="Arial"/>
                  </a:defRPr>
                </a:pPr>
                <a:r>
                  <a:rPr lang="en-US"/>
                  <a:t>Climate Zone</a:t>
                </a:r>
              </a:p>
            </c:rich>
          </c:tx>
          <c:layout>
            <c:manualLayout>
              <c:xMode val="edge"/>
              <c:yMode val="edge"/>
              <c:x val="0.43192555476020061"/>
              <c:y val="0.9273207491505421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98832384"/>
        <c:crosses val="autoZero"/>
        <c:auto val="1"/>
        <c:lblAlgn val="ctr"/>
        <c:lblOffset val="100"/>
        <c:tickLblSkip val="1"/>
        <c:tickMarkSkip val="1"/>
        <c:noMultiLvlLbl val="0"/>
      </c:catAx>
      <c:valAx>
        <c:axId val="98832384"/>
        <c:scaling>
          <c:orientation val="minMax"/>
          <c:min val="0"/>
        </c:scaling>
        <c:delete val="0"/>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Arial"/>
                    <a:ea typeface="Arial"/>
                    <a:cs typeface="Arial"/>
                  </a:defRPr>
                </a:pPr>
                <a:r>
                  <a:rPr lang="en-US"/>
                  <a:t>energ (kWh) impact per unit</a:t>
                </a:r>
              </a:p>
            </c:rich>
          </c:tx>
          <c:layout>
            <c:manualLayout>
              <c:xMode val="edge"/>
              <c:yMode val="edge"/>
              <c:x val="2.0344229698560399E-2"/>
              <c:y val="0.3333340963193559"/>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00" b="0" i="0" u="none" strike="noStrike" baseline="0">
                <a:solidFill>
                  <a:srgbClr val="0000FF"/>
                </a:solidFill>
                <a:latin typeface="Arial"/>
                <a:ea typeface="Arial"/>
                <a:cs typeface="Arial"/>
              </a:defRPr>
            </a:pPr>
            <a:endParaRPr lang="en-US"/>
          </a:p>
        </c:txPr>
        <c:crossAx val="80594816"/>
        <c:crosses val="autoZero"/>
        <c:crossBetween val="between"/>
      </c:valAx>
      <c:catAx>
        <c:axId val="98834304"/>
        <c:scaling>
          <c:orientation val="minMax"/>
        </c:scaling>
        <c:delete val="1"/>
        <c:axPos val="b"/>
        <c:majorTickMark val="out"/>
        <c:minorTickMark val="none"/>
        <c:tickLblPos val="none"/>
        <c:crossAx val="98835840"/>
        <c:crosses val="autoZero"/>
        <c:auto val="1"/>
        <c:lblAlgn val="ctr"/>
        <c:lblOffset val="100"/>
        <c:noMultiLvlLbl val="0"/>
      </c:catAx>
      <c:valAx>
        <c:axId val="98835840"/>
        <c:scaling>
          <c:orientation val="minMax"/>
          <c:min val="0"/>
        </c:scaling>
        <c:delete val="0"/>
        <c:axPos val="r"/>
        <c:title>
          <c:tx>
            <c:rich>
              <a:bodyPr/>
              <a:lstStyle/>
              <a:p>
                <a:pPr>
                  <a:defRPr sz="800" b="0" i="0" u="none" strike="noStrike" baseline="0">
                    <a:solidFill>
                      <a:srgbClr val="000000"/>
                    </a:solidFill>
                    <a:latin typeface="Arial"/>
                    <a:ea typeface="Arial"/>
                    <a:cs typeface="Arial"/>
                  </a:defRPr>
                </a:pPr>
                <a:r>
                  <a:rPr lang="en-US"/>
                  <a:t>demand (kW) impact per unit</a:t>
                </a:r>
              </a:p>
            </c:rich>
          </c:tx>
          <c:layout>
            <c:manualLayout>
              <c:xMode val="edge"/>
              <c:yMode val="edge"/>
              <c:x val="0.94835822794877955"/>
              <c:y val="0.32832153248285867"/>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00" b="0" i="0" u="none" strike="noStrike" baseline="0">
                <a:solidFill>
                  <a:srgbClr val="FF0000"/>
                </a:solidFill>
                <a:latin typeface="Arial"/>
                <a:ea typeface="Arial"/>
                <a:cs typeface="Arial"/>
              </a:defRPr>
            </a:pPr>
            <a:endParaRPr lang="en-US"/>
          </a:p>
        </c:txPr>
        <c:crossAx val="98834304"/>
        <c:crosses val="max"/>
        <c:crossBetween val="between"/>
      </c:valAx>
      <c:spPr>
        <a:solidFill>
          <a:srgbClr val="FFFFFF"/>
        </a:solidFill>
        <a:ln w="25400">
          <a:solidFill>
            <a:srgbClr val="000000"/>
          </a:solidFill>
          <a:prstDash val="solid"/>
        </a:ln>
      </c:spPr>
    </c:plotArea>
    <c:legend>
      <c:legendPos val="r"/>
      <c:layout>
        <c:manualLayout>
          <c:xMode val="edge"/>
          <c:yMode val="edge"/>
          <c:x val="0.51191919191919188"/>
          <c:y val="0.63501368288266258"/>
          <c:w val="0.2945456136164798"/>
          <c:h val="0.18604702028525516"/>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HVAC - Water cooled centrifugal chiller (150-299 tons, 0.507 kW/ton)</c:v>
            </c:pt>
          </c:strCache>
        </c:strRef>
      </c:tx>
      <c:layout>
        <c:manualLayout>
          <c:xMode val="edge"/>
          <c:yMode val="edge"/>
          <c:x val="0.17241383709174882"/>
          <c:y val="8.0402109930433466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9.5611285266457693E-2"/>
          <c:y val="0.19095477386934673"/>
          <c:w val="0.81034482758620685"/>
          <c:h val="0.65326633165829162"/>
        </c:manualLayout>
      </c:layout>
      <c:lineChart>
        <c:grouping val="standard"/>
        <c:varyColors val="0"/>
        <c:ser>
          <c:idx val="1"/>
          <c:order val="1"/>
          <c:tx>
            <c:v>Energy Impact kWh/unit (v4.00)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v4.00 -v1.xls]Non-Residential'!$R$109:$R$124</c:f>
              <c:numCache>
                <c:formatCode>0.0</c:formatCode>
                <c:ptCount val="16"/>
                <c:pt idx="0">
                  <c:v>58.511362156930645</c:v>
                </c:pt>
                <c:pt idx="1">
                  <c:v>111.57251687605246</c:v>
                </c:pt>
                <c:pt idx="2">
                  <c:v>98.017525817371563</c:v>
                </c:pt>
                <c:pt idx="3">
                  <c:v>111.58592813322812</c:v>
                </c:pt>
                <c:pt idx="4">
                  <c:v>115.26318148923781</c:v>
                </c:pt>
                <c:pt idx="5">
                  <c:v>137.30890467385913</c:v>
                </c:pt>
                <c:pt idx="6">
                  <c:v>132.89106931952409</c:v>
                </c:pt>
                <c:pt idx="7">
                  <c:v>142.08589308986728</c:v>
                </c:pt>
                <c:pt idx="8">
                  <c:v>145.72630682255431</c:v>
                </c:pt>
                <c:pt idx="9">
                  <c:v>148.00421016905318</c:v>
                </c:pt>
                <c:pt idx="10">
                  <c:v>129.07668116528194</c:v>
                </c:pt>
                <c:pt idx="11">
                  <c:v>120.04870681216102</c:v>
                </c:pt>
                <c:pt idx="12">
                  <c:v>137.26752935230687</c:v>
                </c:pt>
                <c:pt idx="13">
                  <c:v>143.092978181917</c:v>
                </c:pt>
                <c:pt idx="14">
                  <c:v>172.2479083919975</c:v>
                </c:pt>
                <c:pt idx="15">
                  <c:v>70.842700968813404</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v4.00 -v1.xls]Non-Residential'!$Q$109:$Q$124</c:f>
              <c:numCache>
                <c:formatCode>0.0</c:formatCode>
                <c:ptCount val="16"/>
                <c:pt idx="0">
                  <c:v>57.908912345641255</c:v>
                </c:pt>
                <c:pt idx="1">
                  <c:v>122.58285780298952</c:v>
                </c:pt>
                <c:pt idx="2">
                  <c:v>94.349821267332189</c:v>
                </c:pt>
                <c:pt idx="3">
                  <c:v>125.83851492332637</c:v>
                </c:pt>
                <c:pt idx="4">
                  <c:v>107.00113592671079</c:v>
                </c:pt>
                <c:pt idx="5">
                  <c:v>146.90823782369296</c:v>
                </c:pt>
                <c:pt idx="6">
                  <c:v>144.84035497431097</c:v>
                </c:pt>
                <c:pt idx="7">
                  <c:v>154.69396153040552</c:v>
                </c:pt>
                <c:pt idx="8">
                  <c:v>157.75160642902739</c:v>
                </c:pt>
                <c:pt idx="9">
                  <c:v>164.49808895795724</c:v>
                </c:pt>
                <c:pt idx="10">
                  <c:v>142.05372812349424</c:v>
                </c:pt>
                <c:pt idx="11">
                  <c:v>131.52459188224341</c:v>
                </c:pt>
                <c:pt idx="12">
                  <c:v>152.09882438109625</c:v>
                </c:pt>
                <c:pt idx="13">
                  <c:v>159.04188524686347</c:v>
                </c:pt>
                <c:pt idx="14">
                  <c:v>218.15012799863069</c:v>
                </c:pt>
                <c:pt idx="15">
                  <c:v>77.628397510543223</c:v>
                </c:pt>
              </c:numCache>
            </c:numRef>
          </c:val>
          <c:smooth val="0"/>
        </c:ser>
        <c:dLbls>
          <c:showLegendKey val="0"/>
          <c:showVal val="0"/>
          <c:showCatName val="0"/>
          <c:showSerName val="0"/>
          <c:showPercent val="0"/>
          <c:showBubbleSize val="0"/>
        </c:dLbls>
        <c:marker val="1"/>
        <c:smooth val="0"/>
        <c:axId val="178109056"/>
        <c:axId val="233796352"/>
      </c:lineChart>
      <c:lineChart>
        <c:grouping val="standard"/>
        <c:varyColors val="0"/>
        <c:ser>
          <c:idx val="0"/>
          <c:order val="0"/>
          <c:tx>
            <c:v>Demand Impact W/unit (v4.00)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v4.00 -v1.xls]Non-Residential'!$P$109:$P$124</c:f>
              <c:numCache>
                <c:formatCode>0.000</c:formatCode>
                <c:ptCount val="16"/>
                <c:pt idx="0">
                  <c:v>51.179202990933369</c:v>
                </c:pt>
                <c:pt idx="1">
                  <c:v>89.597260644625635</c:v>
                </c:pt>
                <c:pt idx="2">
                  <c:v>82.799417234434529</c:v>
                </c:pt>
                <c:pt idx="3">
                  <c:v>87.028362845655934</c:v>
                </c:pt>
                <c:pt idx="4">
                  <c:v>65.693011499847429</c:v>
                </c:pt>
                <c:pt idx="5">
                  <c:v>74.493300379959848</c:v>
                </c:pt>
                <c:pt idx="6">
                  <c:v>78.549105114926817</c:v>
                </c:pt>
                <c:pt idx="7">
                  <c:v>68.135804084735042</c:v>
                </c:pt>
                <c:pt idx="8">
                  <c:v>95.512000272021595</c:v>
                </c:pt>
                <c:pt idx="9">
                  <c:v>84.79308756505155</c:v>
                </c:pt>
                <c:pt idx="10">
                  <c:v>94.392474850922298</c:v>
                </c:pt>
                <c:pt idx="11">
                  <c:v>87.885229329572127</c:v>
                </c:pt>
                <c:pt idx="12">
                  <c:v>98.551713993686349</c:v>
                </c:pt>
                <c:pt idx="13">
                  <c:v>95.987112024852166</c:v>
                </c:pt>
                <c:pt idx="14">
                  <c:v>86.373760783874658</c:v>
                </c:pt>
                <c:pt idx="15">
                  <c:v>76.023189725618067</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v4.00 -v1.xls]Non-Residential'!$O$109:$O$124</c:f>
              <c:numCache>
                <c:formatCode>0.000</c:formatCode>
                <c:ptCount val="16"/>
                <c:pt idx="0">
                  <c:v>36.374389451302761</c:v>
                </c:pt>
                <c:pt idx="1">
                  <c:v>89.542022762881388</c:v>
                </c:pt>
                <c:pt idx="2">
                  <c:v>60.058063820726602</c:v>
                </c:pt>
                <c:pt idx="3">
                  <c:v>87.218050333461676</c:v>
                </c:pt>
                <c:pt idx="4">
                  <c:v>51.344414032118436</c:v>
                </c:pt>
                <c:pt idx="5">
                  <c:v>68.885698868051804</c:v>
                </c:pt>
                <c:pt idx="6">
                  <c:v>67.626529659037885</c:v>
                </c:pt>
                <c:pt idx="7">
                  <c:v>68.266384425319487</c:v>
                </c:pt>
                <c:pt idx="8">
                  <c:v>95.243351232622658</c:v>
                </c:pt>
                <c:pt idx="9">
                  <c:v>83.777773111008401</c:v>
                </c:pt>
                <c:pt idx="10">
                  <c:v>93.090803799958465</c:v>
                </c:pt>
                <c:pt idx="11">
                  <c:v>87.766229655769251</c:v>
                </c:pt>
                <c:pt idx="12">
                  <c:v>97.004539976048662</c:v>
                </c:pt>
                <c:pt idx="13">
                  <c:v>95.152859439730477</c:v>
                </c:pt>
                <c:pt idx="14">
                  <c:v>95.419866632429958</c:v>
                </c:pt>
                <c:pt idx="15">
                  <c:v>79.041695709637935</c:v>
                </c:pt>
              </c:numCache>
            </c:numRef>
          </c:val>
          <c:smooth val="0"/>
        </c:ser>
        <c:dLbls>
          <c:showLegendKey val="0"/>
          <c:showVal val="0"/>
          <c:showCatName val="0"/>
          <c:showSerName val="0"/>
          <c:showPercent val="0"/>
          <c:showBubbleSize val="0"/>
        </c:dLbls>
        <c:marker val="1"/>
        <c:smooth val="0"/>
        <c:axId val="234112896"/>
        <c:axId val="234114432"/>
      </c:lineChart>
      <c:catAx>
        <c:axId val="178109056"/>
        <c:scaling>
          <c:orientation val="minMax"/>
        </c:scaling>
        <c:delete val="0"/>
        <c:axPos val="b"/>
        <c:title>
          <c:tx>
            <c:rich>
              <a:bodyPr/>
              <a:lstStyle/>
              <a:p>
                <a:pPr>
                  <a:defRPr sz="800" b="1" i="0" u="none" strike="noStrike" baseline="0">
                    <a:solidFill>
                      <a:srgbClr val="000000"/>
                    </a:solidFill>
                    <a:latin typeface="Arial"/>
                    <a:ea typeface="Arial"/>
                    <a:cs typeface="Arial"/>
                  </a:defRPr>
                </a:pPr>
                <a:r>
                  <a:rPr lang="en-US"/>
                  <a:t>Climate Zone</a:t>
                </a:r>
              </a:p>
            </c:rich>
          </c:tx>
          <c:layout>
            <c:manualLayout>
              <c:xMode val="edge"/>
              <c:yMode val="edge"/>
              <c:x val="0.44043892295966075"/>
              <c:y val="0.9120602400428101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233796352"/>
        <c:crosses val="autoZero"/>
        <c:auto val="1"/>
        <c:lblAlgn val="ctr"/>
        <c:lblOffset val="100"/>
        <c:tickLblSkip val="1"/>
        <c:tickMarkSkip val="1"/>
        <c:noMultiLvlLbl val="0"/>
      </c:catAx>
      <c:valAx>
        <c:axId val="233796352"/>
        <c:scaling>
          <c:orientation val="minMax"/>
          <c:min val="0"/>
        </c:scaling>
        <c:delete val="0"/>
        <c:axPos val="l"/>
        <c:majorGridlines>
          <c:spPr>
            <a:ln w="3175">
              <a:solidFill>
                <a:srgbClr val="000000"/>
              </a:solidFill>
              <a:prstDash val="solid"/>
            </a:ln>
          </c:spPr>
        </c:majorGridlines>
        <c:title>
          <c:tx>
            <c:rich>
              <a:bodyPr/>
              <a:lstStyle/>
              <a:p>
                <a:pPr>
                  <a:defRPr sz="975" b="0" i="0" u="none" strike="noStrike" baseline="0">
                    <a:solidFill>
                      <a:srgbClr val="000000"/>
                    </a:solidFill>
                    <a:latin typeface="Arial"/>
                    <a:ea typeface="Arial"/>
                    <a:cs typeface="Arial"/>
                  </a:defRPr>
                </a:pPr>
                <a:r>
                  <a:rPr lang="en-US"/>
                  <a:t>energ (kWh) impact per unit</a:t>
                </a:r>
              </a:p>
            </c:rich>
          </c:tx>
          <c:layout>
            <c:manualLayout>
              <c:xMode val="edge"/>
              <c:yMode val="edge"/>
              <c:x val="2.0376128561086608E-2"/>
              <c:y val="0.31155773004102633"/>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25" b="0" i="0" u="none" strike="noStrike" baseline="0">
                <a:solidFill>
                  <a:srgbClr val="0000FF"/>
                </a:solidFill>
                <a:latin typeface="Arial"/>
                <a:ea typeface="Arial"/>
                <a:cs typeface="Arial"/>
              </a:defRPr>
            </a:pPr>
            <a:endParaRPr lang="en-US"/>
          </a:p>
        </c:txPr>
        <c:crossAx val="178109056"/>
        <c:crosses val="autoZero"/>
        <c:crossBetween val="between"/>
      </c:valAx>
      <c:catAx>
        <c:axId val="234112896"/>
        <c:scaling>
          <c:orientation val="minMax"/>
        </c:scaling>
        <c:delete val="1"/>
        <c:axPos val="b"/>
        <c:majorTickMark val="out"/>
        <c:minorTickMark val="none"/>
        <c:tickLblPos val="none"/>
        <c:crossAx val="234114432"/>
        <c:crosses val="autoZero"/>
        <c:auto val="1"/>
        <c:lblAlgn val="ctr"/>
        <c:lblOffset val="100"/>
        <c:noMultiLvlLbl val="0"/>
      </c:catAx>
      <c:valAx>
        <c:axId val="234114432"/>
        <c:scaling>
          <c:orientation val="minMax"/>
          <c:min val="0"/>
        </c:scaling>
        <c:delete val="0"/>
        <c:axPos val="r"/>
        <c:title>
          <c:tx>
            <c:rich>
              <a:bodyPr/>
              <a:lstStyle/>
              <a:p>
                <a:pPr>
                  <a:defRPr sz="975" b="0" i="0" u="none" strike="noStrike" baseline="0">
                    <a:solidFill>
                      <a:srgbClr val="000000"/>
                    </a:solidFill>
                    <a:latin typeface="Arial"/>
                    <a:ea typeface="Arial"/>
                    <a:cs typeface="Arial"/>
                  </a:defRPr>
                </a:pPr>
                <a:r>
                  <a:rPr lang="en-US"/>
                  <a:t>demand (kW) impact per unit</a:t>
                </a:r>
              </a:p>
            </c:rich>
          </c:tx>
          <c:layout>
            <c:manualLayout>
              <c:xMode val="edge"/>
              <c:yMode val="edge"/>
              <c:x val="0.94514100834601078"/>
              <c:y val="0.3015075300053513"/>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25" b="0" i="0" u="none" strike="noStrike" baseline="0">
                <a:solidFill>
                  <a:srgbClr val="FF0000"/>
                </a:solidFill>
                <a:latin typeface="Arial"/>
                <a:ea typeface="Arial"/>
                <a:cs typeface="Arial"/>
              </a:defRPr>
            </a:pPr>
            <a:endParaRPr lang="en-US"/>
          </a:p>
        </c:txPr>
        <c:crossAx val="234112896"/>
        <c:crosses val="max"/>
        <c:crossBetween val="between"/>
      </c:valAx>
      <c:spPr>
        <a:solidFill>
          <a:srgbClr val="FFFFFF"/>
        </a:solidFill>
        <a:ln w="25400">
          <a:solidFill>
            <a:srgbClr val="000000"/>
          </a:solidFill>
          <a:prstDash val="solid"/>
        </a:ln>
      </c:spPr>
    </c:plotArea>
    <c:legend>
      <c:legendPos val="r"/>
      <c:layout>
        <c:manualLayout>
          <c:xMode val="edge"/>
          <c:yMode val="edge"/>
          <c:x val="0.54799625593580881"/>
          <c:y val="0.61941925948576815"/>
          <c:w val="0.29526187719852148"/>
          <c:h val="0.18640827663532381"/>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DHW - High Efficiency Large Gas Storage Water Heater - 0.90 Et</c:v>
            </c:pt>
          </c:strCache>
        </c:strRef>
      </c:tx>
      <c:layout>
        <c:manualLayout>
          <c:xMode val="edge"/>
          <c:yMode val="edge"/>
          <c:x val="0.17972384998769195"/>
          <c:y val="8.060454431500165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0.11827974732344974"/>
          <c:y val="0.19143600371438591"/>
          <c:w val="0.87250514908726451"/>
          <c:h val="0.6070536433574607"/>
        </c:manualLayout>
      </c:layout>
      <c:lineChart>
        <c:grouping val="standard"/>
        <c:varyColors val="0"/>
        <c:ser>
          <c:idx val="0"/>
          <c:order val="0"/>
          <c:tx>
            <c:v>Gas Impact therm/unit (v4.00)</c:v>
          </c:tx>
          <c:spPr>
            <a:ln w="12700">
              <a:solidFill>
                <a:srgbClr val="FF0000"/>
              </a:solidFill>
              <a:prstDash val="solid"/>
            </a:ln>
          </c:spPr>
          <c:marker>
            <c:symbol val="diamond"/>
            <c:size val="6"/>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v4.00 -v1.xls]Non-Residential'!$X$109:$X$124</c:f>
              <c:numCache>
                <c:formatCode>0.000</c:formatCode>
                <c:ptCount val="16"/>
                <c:pt idx="0">
                  <c:v>0.48812109848398239</c:v>
                </c:pt>
                <c:pt idx="1">
                  <c:v>0.46806759197859765</c:v>
                </c:pt>
                <c:pt idx="2">
                  <c:v>0.46765600347563635</c:v>
                </c:pt>
                <c:pt idx="3">
                  <c:v>0.45976722383554752</c:v>
                </c:pt>
                <c:pt idx="4">
                  <c:v>0.46621544371527235</c:v>
                </c:pt>
                <c:pt idx="5">
                  <c:v>0.44652779365696382</c:v>
                </c:pt>
                <c:pt idx="6">
                  <c:v>0.44069695653168073</c:v>
                </c:pt>
                <c:pt idx="7">
                  <c:v>0.43884480826835603</c:v>
                </c:pt>
                <c:pt idx="8">
                  <c:v>0.43454599501520624</c:v>
                </c:pt>
                <c:pt idx="9">
                  <c:v>0.43420300459607164</c:v>
                </c:pt>
                <c:pt idx="10">
                  <c:v>0.44924885098209583</c:v>
                </c:pt>
                <c:pt idx="11">
                  <c:v>0.45656597992362774</c:v>
                </c:pt>
                <c:pt idx="12">
                  <c:v>0.43301397114307316</c:v>
                </c:pt>
                <c:pt idx="13">
                  <c:v>0.44648206160107951</c:v>
                </c:pt>
                <c:pt idx="14">
                  <c:v>0.38140534607733295</c:v>
                </c:pt>
                <c:pt idx="15">
                  <c:v>0.50602519836279269</c:v>
                </c:pt>
              </c:numCache>
            </c:numRef>
          </c:val>
          <c:smooth val="0"/>
        </c:ser>
        <c:ser>
          <c:idx val="2"/>
          <c:order val="1"/>
          <c:tx>
            <c:v>Gas Impact therm/unit (2.05)</c:v>
          </c:tx>
          <c:spPr>
            <a:ln w="12700">
              <a:solidFill>
                <a:srgbClr val="339966"/>
              </a:solidFill>
              <a:prstDash val="solid"/>
            </a:ln>
          </c:spPr>
          <c:marker>
            <c:symbol val="triangle"/>
            <c:size val="5"/>
            <c:spPr>
              <a:solidFill>
                <a:srgbClr val="339966"/>
              </a:solidFill>
              <a:ln>
                <a:solidFill>
                  <a:srgbClr val="339966"/>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v4.00 -v1.xls]Non-Residential'!$W$109:$W$124</c:f>
              <c:numCache>
                <c:formatCode>0.000</c:formatCode>
                <c:ptCount val="16"/>
                <c:pt idx="0">
                  <c:v>0.59489510089750186</c:v>
                </c:pt>
                <c:pt idx="1">
                  <c:v>0.57022809123649465</c:v>
                </c:pt>
                <c:pt idx="2">
                  <c:v>0.56951351969359221</c:v>
                </c:pt>
                <c:pt idx="3">
                  <c:v>0.55979534671011311</c:v>
                </c:pt>
                <c:pt idx="4">
                  <c:v>0.56774138226719306</c:v>
                </c:pt>
                <c:pt idx="5">
                  <c:v>0.54338878408506208</c:v>
                </c:pt>
                <c:pt idx="6">
                  <c:v>0.53618590293260149</c:v>
                </c:pt>
                <c:pt idx="7">
                  <c:v>0.53387069113359709</c:v>
                </c:pt>
                <c:pt idx="8">
                  <c:v>0.5286114445778316</c:v>
                </c:pt>
                <c:pt idx="9">
                  <c:v>0.52823986737552175</c:v>
                </c:pt>
                <c:pt idx="10">
                  <c:v>0.54693305893786059</c:v>
                </c:pt>
                <c:pt idx="11">
                  <c:v>0.55596524324015362</c:v>
                </c:pt>
                <c:pt idx="12">
                  <c:v>0.52686789001314815</c:v>
                </c:pt>
                <c:pt idx="13">
                  <c:v>0.5435602812553586</c:v>
                </c:pt>
                <c:pt idx="14">
                  <c:v>0.46295661121591536</c:v>
                </c:pt>
                <c:pt idx="15">
                  <c:v>0.6173898130680856</c:v>
                </c:pt>
              </c:numCache>
            </c:numRef>
          </c:val>
          <c:smooth val="0"/>
        </c:ser>
        <c:dLbls>
          <c:showLegendKey val="0"/>
          <c:showVal val="0"/>
          <c:showCatName val="0"/>
          <c:showSerName val="0"/>
          <c:showPercent val="0"/>
          <c:showBubbleSize val="0"/>
        </c:dLbls>
        <c:marker val="1"/>
        <c:smooth val="0"/>
        <c:axId val="55948032"/>
        <c:axId val="55950336"/>
      </c:lineChart>
      <c:catAx>
        <c:axId val="55948032"/>
        <c:scaling>
          <c:orientation val="minMax"/>
        </c:scaling>
        <c:delete val="0"/>
        <c:axPos val="b"/>
        <c:title>
          <c:tx>
            <c:rich>
              <a:bodyPr/>
              <a:lstStyle/>
              <a:p>
                <a:pPr>
                  <a:defRPr sz="825" b="1" i="0" u="none" strike="noStrike" baseline="0">
                    <a:solidFill>
                      <a:srgbClr val="000000"/>
                    </a:solidFill>
                    <a:latin typeface="Arial"/>
                    <a:ea typeface="Arial"/>
                    <a:cs typeface="Arial"/>
                  </a:defRPr>
                </a:pPr>
                <a:r>
                  <a:rPr lang="en-US"/>
                  <a:t>Clmate Zone</a:t>
                </a:r>
              </a:p>
            </c:rich>
          </c:tx>
          <c:layout>
            <c:manualLayout>
              <c:xMode val="edge"/>
              <c:yMode val="edge"/>
              <c:x val="0.49769661861694831"/>
              <c:y val="0.8664998746501728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55950336"/>
        <c:crossesAt val="-9"/>
        <c:auto val="1"/>
        <c:lblAlgn val="ctr"/>
        <c:lblOffset val="100"/>
        <c:tickLblSkip val="1"/>
        <c:tickMarkSkip val="1"/>
        <c:noMultiLvlLbl val="0"/>
      </c:catAx>
      <c:valAx>
        <c:axId val="55950336"/>
        <c:scaling>
          <c:orientation val="minMax"/>
        </c:scaling>
        <c:delete val="0"/>
        <c:axPos val="l"/>
        <c:majorGridlines>
          <c:spPr>
            <a:ln w="3175">
              <a:solidFill>
                <a:srgbClr val="000000"/>
              </a:solidFill>
              <a:prstDash val="solid"/>
            </a:ln>
          </c:spPr>
        </c:majorGridlines>
        <c:title>
          <c:tx>
            <c:rich>
              <a:bodyPr/>
              <a:lstStyle/>
              <a:p>
                <a:pPr>
                  <a:defRPr sz="1000" b="0" i="0" u="none" strike="noStrike" baseline="0">
                    <a:solidFill>
                      <a:srgbClr val="000000"/>
                    </a:solidFill>
                    <a:latin typeface="Arial"/>
                    <a:ea typeface="Arial"/>
                    <a:cs typeface="Arial"/>
                  </a:defRPr>
                </a:pPr>
                <a:r>
                  <a:rPr lang="en-US"/>
                  <a:t>therms per unit</a:t>
                </a:r>
              </a:p>
            </c:rich>
          </c:tx>
          <c:layout>
            <c:manualLayout>
              <c:xMode val="edge"/>
              <c:yMode val="edge"/>
              <c:x val="1.9969245622616309E-2"/>
              <c:y val="0.38035307721037825"/>
            </c:manualLayout>
          </c:layout>
          <c:overlay val="0"/>
          <c:spPr>
            <a:noFill/>
            <a:ln w="25400">
              <a:noFill/>
            </a:ln>
          </c:spPr>
        </c:title>
        <c:numFmt formatCode="0.000" sourceLinked="1"/>
        <c:majorTickMark val="out"/>
        <c:minorTickMark val="none"/>
        <c:tickLblPos val="nextTo"/>
        <c:spPr>
          <a:ln w="3175">
            <a:solidFill>
              <a:srgbClr val="0000FF"/>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55948032"/>
        <c:crosses val="autoZero"/>
        <c:crossBetween val="between"/>
      </c:valAx>
      <c:spPr>
        <a:noFill/>
        <a:ln w="25400">
          <a:solidFill>
            <a:srgbClr val="000000"/>
          </a:solidFill>
          <a:prstDash val="solid"/>
        </a:ln>
      </c:spPr>
    </c:plotArea>
    <c:legend>
      <c:legendPos val="r"/>
      <c:layout>
        <c:manualLayout>
          <c:xMode val="edge"/>
          <c:yMode val="edge"/>
          <c:x val="0.28989069728037992"/>
          <c:y val="0.92787703437655134"/>
          <c:w val="0.52740624230740951"/>
          <c:h val="5.4580896686159841E-2"/>
        </c:manualLayout>
      </c:layout>
      <c:overlay val="0"/>
      <c:spPr>
        <a:noFill/>
        <a:ln w="3175">
          <a:solidFill>
            <a:srgbClr val="000000"/>
          </a:solidFill>
          <a:prstDash val="solid"/>
        </a:ln>
      </c:spPr>
      <c:txPr>
        <a:bodyPr/>
        <a:lstStyle/>
        <a:p>
          <a:pPr>
            <a:defRPr sz="75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v4.00 -v1.xls]Residential'!$R$81</c:f>
          <c:strCache>
            <c:ptCount val="1"/>
            <c:pt idx="0">
              <c:v>HVAC - SEER 14 split system with gas furnace</c:v>
            </c:pt>
          </c:strCache>
        </c:strRef>
      </c:tx>
      <c:layout>
        <c:manualLayout>
          <c:xMode val="edge"/>
          <c:yMode val="edge"/>
          <c:x val="0.27856072536387544"/>
          <c:y val="8.0200767055280897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0.11111128091879542"/>
          <c:y val="0.15037630789940659"/>
          <c:w val="0.77934391405014303"/>
          <c:h val="0.70927491892553385"/>
        </c:manualLayout>
      </c:layout>
      <c:lineChart>
        <c:grouping val="standard"/>
        <c:varyColors val="0"/>
        <c:ser>
          <c:idx val="1"/>
          <c:order val="1"/>
          <c:tx>
            <c:v>Energy Impact kWh/unit (4.00)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v4.00 -v1.xls]Residential'!$R$109:$R$124</c:f>
              <c:numCache>
                <c:formatCode>0.0</c:formatCode>
                <c:ptCount val="16"/>
                <c:pt idx="0">
                  <c:v>15.005645131324345</c:v>
                </c:pt>
                <c:pt idx="1">
                  <c:v>31.231898353447093</c:v>
                </c:pt>
                <c:pt idx="2">
                  <c:v>15.188422455153168</c:v>
                </c:pt>
                <c:pt idx="3">
                  <c:v>25.225390326813827</c:v>
                </c:pt>
                <c:pt idx="4">
                  <c:v>18.66001543695149</c:v>
                </c:pt>
                <c:pt idx="5">
                  <c:v>17.893033574238402</c:v>
                </c:pt>
                <c:pt idx="6">
                  <c:v>16.592432902264726</c:v>
                </c:pt>
                <c:pt idx="7">
                  <c:v>15.073050509209235</c:v>
                </c:pt>
                <c:pt idx="8">
                  <c:v>24.646786367795059</c:v>
                </c:pt>
                <c:pt idx="9">
                  <c:v>39.523308537219911</c:v>
                </c:pt>
                <c:pt idx="10">
                  <c:v>55.308327853855154</c:v>
                </c:pt>
                <c:pt idx="11">
                  <c:v>33.24184307132807</c:v>
                </c:pt>
                <c:pt idx="12">
                  <c:v>56.738929045244504</c:v>
                </c:pt>
                <c:pt idx="13">
                  <c:v>90.293160726640636</c:v>
                </c:pt>
                <c:pt idx="14">
                  <c:v>126.3580695144054</c:v>
                </c:pt>
                <c:pt idx="15">
                  <c:v>40.852410465169434</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v4.00 -v1.xls]Residential'!$Q$109:$Q$124</c:f>
              <c:numCache>
                <c:formatCode>0.0</c:formatCode>
                <c:ptCount val="16"/>
                <c:pt idx="0">
                  <c:v>17.568420420798088</c:v>
                </c:pt>
                <c:pt idx="1">
                  <c:v>35.279704484763926</c:v>
                </c:pt>
                <c:pt idx="2">
                  <c:v>18.44896010247437</c:v>
                </c:pt>
                <c:pt idx="3">
                  <c:v>32.682152812522375</c:v>
                </c:pt>
                <c:pt idx="4">
                  <c:v>22.12026528687003</c:v>
                </c:pt>
                <c:pt idx="5">
                  <c:v>21.836200267015077</c:v>
                </c:pt>
                <c:pt idx="6">
                  <c:v>24.312790381838717</c:v>
                </c:pt>
                <c:pt idx="7">
                  <c:v>23.669258920402591</c:v>
                </c:pt>
                <c:pt idx="8">
                  <c:v>34.317711371095925</c:v>
                </c:pt>
                <c:pt idx="9">
                  <c:v>45.232098391306742</c:v>
                </c:pt>
                <c:pt idx="10">
                  <c:v>68.003087566825755</c:v>
                </c:pt>
                <c:pt idx="11">
                  <c:v>40.099952539697966</c:v>
                </c:pt>
                <c:pt idx="12">
                  <c:v>71.871997804108148</c:v>
                </c:pt>
                <c:pt idx="13">
                  <c:v>123.60438454544935</c:v>
                </c:pt>
                <c:pt idx="14">
                  <c:v>166.19039451114918</c:v>
                </c:pt>
                <c:pt idx="15">
                  <c:v>55.517026483099244</c:v>
                </c:pt>
              </c:numCache>
            </c:numRef>
          </c:val>
          <c:smooth val="0"/>
        </c:ser>
        <c:dLbls>
          <c:showLegendKey val="0"/>
          <c:showVal val="0"/>
          <c:showCatName val="0"/>
          <c:showSerName val="0"/>
          <c:showPercent val="0"/>
          <c:showBubbleSize val="0"/>
        </c:dLbls>
        <c:marker val="1"/>
        <c:smooth val="0"/>
        <c:axId val="57331072"/>
        <c:axId val="57353728"/>
      </c:lineChart>
      <c:lineChart>
        <c:grouping val="standard"/>
        <c:varyColors val="0"/>
        <c:ser>
          <c:idx val="0"/>
          <c:order val="0"/>
          <c:tx>
            <c:v>Demand Impact W/unit (4.00)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v4.00 -v1.xls]Residential'!$P$109:$P$124</c:f>
              <c:numCache>
                <c:formatCode>0.000</c:formatCode>
                <c:ptCount val="16"/>
                <c:pt idx="0">
                  <c:v>6.0844511646120294</c:v>
                </c:pt>
                <c:pt idx="1">
                  <c:v>50.403275379473406</c:v>
                </c:pt>
                <c:pt idx="2">
                  <c:v>16.01762421871873</c:v>
                </c:pt>
                <c:pt idx="3">
                  <c:v>46.356044383325063</c:v>
                </c:pt>
                <c:pt idx="4">
                  <c:v>18.385980961093164</c:v>
                </c:pt>
                <c:pt idx="5">
                  <c:v>17.00725002287075</c:v>
                </c:pt>
                <c:pt idx="6">
                  <c:v>18.882862379235512</c:v>
                </c:pt>
                <c:pt idx="7">
                  <c:v>61.214897157463092</c:v>
                </c:pt>
                <c:pt idx="8">
                  <c:v>58.215633577310122</c:v>
                </c:pt>
                <c:pt idx="9">
                  <c:v>97.793508030624338</c:v>
                </c:pt>
                <c:pt idx="10">
                  <c:v>70.776751765344912</c:v>
                </c:pt>
                <c:pt idx="11">
                  <c:v>85.175146670326214</c:v>
                </c:pt>
                <c:pt idx="12">
                  <c:v>87.741319365021297</c:v>
                </c:pt>
                <c:pt idx="13">
                  <c:v>137.07908535225602</c:v>
                </c:pt>
                <c:pt idx="14">
                  <c:v>136.92845585166307</c:v>
                </c:pt>
                <c:pt idx="15">
                  <c:v>59.356275442528478</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v4.00 -v1.xls]Residential'!$O$109:$O$124</c:f>
              <c:numCache>
                <c:formatCode>0.000</c:formatCode>
                <c:ptCount val="16"/>
                <c:pt idx="0">
                  <c:v>6.3522733444044599</c:v>
                </c:pt>
                <c:pt idx="1">
                  <c:v>57.680079596983099</c:v>
                </c:pt>
                <c:pt idx="2">
                  <c:v>20.188651192579744</c:v>
                </c:pt>
                <c:pt idx="3">
                  <c:v>61.201629619040794</c:v>
                </c:pt>
                <c:pt idx="4">
                  <c:v>20.492267230782407</c:v>
                </c:pt>
                <c:pt idx="5">
                  <c:v>21.745146415165511</c:v>
                </c:pt>
                <c:pt idx="6">
                  <c:v>24.956326571457137</c:v>
                </c:pt>
                <c:pt idx="7">
                  <c:v>81.392669258920421</c:v>
                </c:pt>
                <c:pt idx="8">
                  <c:v>85.714081494950875</c:v>
                </c:pt>
                <c:pt idx="9">
                  <c:v>116.65413523086902</c:v>
                </c:pt>
                <c:pt idx="10">
                  <c:v>96.317218902770236</c:v>
                </c:pt>
                <c:pt idx="11">
                  <c:v>123.03482899995996</c:v>
                </c:pt>
                <c:pt idx="12">
                  <c:v>126.64720481266298</c:v>
                </c:pt>
                <c:pt idx="13">
                  <c:v>168.10826419345054</c:v>
                </c:pt>
                <c:pt idx="14">
                  <c:v>174.50314465408798</c:v>
                </c:pt>
                <c:pt idx="15">
                  <c:v>79.166571376297767</c:v>
                </c:pt>
              </c:numCache>
            </c:numRef>
          </c:val>
          <c:smooth val="0"/>
        </c:ser>
        <c:dLbls>
          <c:showLegendKey val="0"/>
          <c:showVal val="0"/>
          <c:showCatName val="0"/>
          <c:showSerName val="0"/>
          <c:showPercent val="0"/>
          <c:showBubbleSize val="0"/>
        </c:dLbls>
        <c:marker val="1"/>
        <c:smooth val="0"/>
        <c:axId val="57355648"/>
        <c:axId val="79697024"/>
      </c:lineChart>
      <c:catAx>
        <c:axId val="57331072"/>
        <c:scaling>
          <c:orientation val="minMax"/>
        </c:scaling>
        <c:delete val="0"/>
        <c:axPos val="b"/>
        <c:title>
          <c:tx>
            <c:rich>
              <a:bodyPr/>
              <a:lstStyle/>
              <a:p>
                <a:pPr>
                  <a:defRPr sz="1000" b="1" i="0" u="none" strike="noStrike" baseline="0">
                    <a:solidFill>
                      <a:srgbClr val="000000"/>
                    </a:solidFill>
                    <a:latin typeface="Arial"/>
                    <a:ea typeface="Arial"/>
                    <a:cs typeface="Arial"/>
                  </a:defRPr>
                </a:pPr>
                <a:r>
                  <a:rPr lang="en-US"/>
                  <a:t>Climate Zone</a:t>
                </a:r>
              </a:p>
            </c:rich>
          </c:tx>
          <c:layout>
            <c:manualLayout>
              <c:xMode val="edge"/>
              <c:yMode val="edge"/>
              <c:x val="0.43192555476020061"/>
              <c:y val="0.9273207491505421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57353728"/>
        <c:crosses val="autoZero"/>
        <c:auto val="1"/>
        <c:lblAlgn val="ctr"/>
        <c:lblOffset val="100"/>
        <c:tickLblSkip val="1"/>
        <c:tickMarkSkip val="1"/>
        <c:noMultiLvlLbl val="0"/>
      </c:catAx>
      <c:valAx>
        <c:axId val="57353728"/>
        <c:scaling>
          <c:orientation val="minMax"/>
          <c:min val="0"/>
        </c:scaling>
        <c:delete val="0"/>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Arial"/>
                    <a:ea typeface="Arial"/>
                    <a:cs typeface="Arial"/>
                  </a:defRPr>
                </a:pPr>
                <a:r>
                  <a:rPr lang="en-US"/>
                  <a:t>energ (kWh) impact per unit</a:t>
                </a:r>
              </a:p>
            </c:rich>
          </c:tx>
          <c:layout>
            <c:manualLayout>
              <c:xMode val="edge"/>
              <c:yMode val="edge"/>
              <c:x val="2.0344229698560399E-2"/>
              <c:y val="0.3333340963193559"/>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00" b="0" i="0" u="none" strike="noStrike" baseline="0">
                <a:solidFill>
                  <a:srgbClr val="0000FF"/>
                </a:solidFill>
                <a:latin typeface="Arial"/>
                <a:ea typeface="Arial"/>
                <a:cs typeface="Arial"/>
              </a:defRPr>
            </a:pPr>
            <a:endParaRPr lang="en-US"/>
          </a:p>
        </c:txPr>
        <c:crossAx val="57331072"/>
        <c:crosses val="autoZero"/>
        <c:crossBetween val="between"/>
      </c:valAx>
      <c:catAx>
        <c:axId val="57355648"/>
        <c:scaling>
          <c:orientation val="minMax"/>
        </c:scaling>
        <c:delete val="1"/>
        <c:axPos val="b"/>
        <c:majorTickMark val="out"/>
        <c:minorTickMark val="none"/>
        <c:tickLblPos val="none"/>
        <c:crossAx val="79697024"/>
        <c:crosses val="autoZero"/>
        <c:auto val="1"/>
        <c:lblAlgn val="ctr"/>
        <c:lblOffset val="100"/>
        <c:noMultiLvlLbl val="0"/>
      </c:catAx>
      <c:valAx>
        <c:axId val="79697024"/>
        <c:scaling>
          <c:orientation val="minMax"/>
          <c:min val="0"/>
        </c:scaling>
        <c:delete val="0"/>
        <c:axPos val="r"/>
        <c:title>
          <c:tx>
            <c:rich>
              <a:bodyPr/>
              <a:lstStyle/>
              <a:p>
                <a:pPr>
                  <a:defRPr sz="800" b="0" i="0" u="none" strike="noStrike" baseline="0">
                    <a:solidFill>
                      <a:srgbClr val="000000"/>
                    </a:solidFill>
                    <a:latin typeface="Arial"/>
                    <a:ea typeface="Arial"/>
                    <a:cs typeface="Arial"/>
                  </a:defRPr>
                </a:pPr>
                <a:r>
                  <a:rPr lang="en-US"/>
                  <a:t>demand (kW) impact per unit</a:t>
                </a:r>
              </a:p>
            </c:rich>
          </c:tx>
          <c:layout>
            <c:manualLayout>
              <c:xMode val="edge"/>
              <c:yMode val="edge"/>
              <c:x val="0.94835822794877955"/>
              <c:y val="0.32832153248285867"/>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00" b="0" i="0" u="none" strike="noStrike" baseline="0">
                <a:solidFill>
                  <a:srgbClr val="FF0000"/>
                </a:solidFill>
                <a:latin typeface="Arial"/>
                <a:ea typeface="Arial"/>
                <a:cs typeface="Arial"/>
              </a:defRPr>
            </a:pPr>
            <a:endParaRPr lang="en-US"/>
          </a:p>
        </c:txPr>
        <c:crossAx val="57355648"/>
        <c:crosses val="max"/>
        <c:crossBetween val="between"/>
      </c:valAx>
      <c:spPr>
        <a:solidFill>
          <a:srgbClr val="FFFFFF"/>
        </a:solidFill>
        <a:ln w="25400">
          <a:solidFill>
            <a:srgbClr val="000000"/>
          </a:solidFill>
          <a:prstDash val="solid"/>
        </a:ln>
      </c:spPr>
    </c:plotArea>
    <c:legend>
      <c:legendPos val="r"/>
      <c:layout>
        <c:manualLayout>
          <c:xMode val="edge"/>
          <c:yMode val="edge"/>
          <c:x val="0.1563636363636364"/>
          <c:y val="0.18604727461392917"/>
          <c:w val="0.2945456136164798"/>
          <c:h val="0.18604702028525516"/>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v4.00 -v1.xls]Residential'!$R$81</c:f>
          <c:strCache>
            <c:ptCount val="1"/>
            <c:pt idx="0">
              <c:v>HVAC - SEER 14 split system with gas furnace</c:v>
            </c:pt>
          </c:strCache>
        </c:strRef>
      </c:tx>
      <c:layout>
        <c:manualLayout>
          <c:xMode val="edge"/>
          <c:yMode val="edge"/>
          <c:x val="0.27856072536387544"/>
          <c:y val="8.0200767055280897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0.11111128091879542"/>
          <c:y val="0.15037630789940659"/>
          <c:w val="0.77934391405014303"/>
          <c:h val="0.70927491892553385"/>
        </c:manualLayout>
      </c:layout>
      <c:lineChart>
        <c:grouping val="standard"/>
        <c:varyColors val="0"/>
        <c:ser>
          <c:idx val="1"/>
          <c:order val="1"/>
          <c:tx>
            <c:v>Energy Impact kWh/unit (4.00)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v4.00 -v1.xls]Residential'!$R$109:$R$124</c:f>
              <c:numCache>
                <c:formatCode>0.0</c:formatCode>
                <c:ptCount val="16"/>
                <c:pt idx="0">
                  <c:v>21.256132823430633</c:v>
                </c:pt>
                <c:pt idx="1">
                  <c:v>20.298857435197814</c:v>
                </c:pt>
                <c:pt idx="2">
                  <c:v>15.486972800959844</c:v>
                </c:pt>
                <c:pt idx="3">
                  <c:v>22.200273617255654</c:v>
                </c:pt>
                <c:pt idx="4">
                  <c:v>14.302986688201749</c:v>
                </c:pt>
                <c:pt idx="5">
                  <c:v>10.779970561755999</c:v>
                </c:pt>
                <c:pt idx="6">
                  <c:v>17.063894727960424</c:v>
                </c:pt>
                <c:pt idx="7">
                  <c:v>16.6149209652833</c:v>
                </c:pt>
                <c:pt idx="8">
                  <c:v>22.587677997243912</c:v>
                </c:pt>
                <c:pt idx="9">
                  <c:v>27.785488090320783</c:v>
                </c:pt>
                <c:pt idx="10">
                  <c:v>38.410462204007274</c:v>
                </c:pt>
                <c:pt idx="11">
                  <c:v>26.23971430204676</c:v>
                </c:pt>
                <c:pt idx="12">
                  <c:v>45.939898453182153</c:v>
                </c:pt>
                <c:pt idx="13">
                  <c:v>51.890826259223644</c:v>
                </c:pt>
                <c:pt idx="14">
                  <c:v>54.652586307844594</c:v>
                </c:pt>
                <c:pt idx="15">
                  <c:v>41.088309750638992</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v4.00 -v1.xls]Residential'!$Q$109:$Q$124</c:f>
              <c:numCache>
                <c:formatCode>0.0</c:formatCode>
                <c:ptCount val="16"/>
                <c:pt idx="0">
                  <c:v>21.56431303050087</c:v>
                </c:pt>
                <c:pt idx="1">
                  <c:v>19.646085071136227</c:v>
                </c:pt>
                <c:pt idx="2">
                  <c:v>15.041217457860272</c:v>
                </c:pt>
                <c:pt idx="3">
                  <c:v>21.29740774301299</c:v>
                </c:pt>
                <c:pt idx="4">
                  <c:v>14.287454086018704</c:v>
                </c:pt>
                <c:pt idx="5">
                  <c:v>9.6302785200851595</c:v>
                </c:pt>
                <c:pt idx="6">
                  <c:v>15.561082802314106</c:v>
                </c:pt>
                <c:pt idx="7">
                  <c:v>18.068701488404937</c:v>
                </c:pt>
                <c:pt idx="8">
                  <c:v>23.272278364722087</c:v>
                </c:pt>
                <c:pt idx="9">
                  <c:v>26.272834916701086</c:v>
                </c:pt>
                <c:pt idx="10">
                  <c:v>35.678790983606554</c:v>
                </c:pt>
                <c:pt idx="11">
                  <c:v>25.162931472806648</c:v>
                </c:pt>
                <c:pt idx="12">
                  <c:v>43.345141102845652</c:v>
                </c:pt>
                <c:pt idx="13">
                  <c:v>47.294062573898096</c:v>
                </c:pt>
                <c:pt idx="14">
                  <c:v>50.117632029977536</c:v>
                </c:pt>
                <c:pt idx="15">
                  <c:v>40.405899546282804</c:v>
                </c:pt>
              </c:numCache>
            </c:numRef>
          </c:val>
          <c:smooth val="0"/>
        </c:ser>
        <c:dLbls>
          <c:showLegendKey val="0"/>
          <c:showVal val="0"/>
          <c:showCatName val="0"/>
          <c:showSerName val="0"/>
          <c:showPercent val="0"/>
          <c:showBubbleSize val="0"/>
        </c:dLbls>
        <c:marker val="1"/>
        <c:smooth val="0"/>
        <c:axId val="79721984"/>
        <c:axId val="79723904"/>
      </c:lineChart>
      <c:lineChart>
        <c:grouping val="standard"/>
        <c:varyColors val="0"/>
        <c:ser>
          <c:idx val="0"/>
          <c:order val="0"/>
          <c:tx>
            <c:v>Demand Impact W/unit (4.00)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v4.00 -v1.xls]Residential'!$P$109:$P$124</c:f>
              <c:numCache>
                <c:formatCode>0.000</c:formatCode>
                <c:ptCount val="16"/>
                <c:pt idx="0">
                  <c:v>4.1017628952523131</c:v>
                </c:pt>
                <c:pt idx="1">
                  <c:v>34.001961118690268</c:v>
                </c:pt>
                <c:pt idx="2">
                  <c:v>8.0873099876916488</c:v>
                </c:pt>
                <c:pt idx="3">
                  <c:v>47.252634010269524</c:v>
                </c:pt>
                <c:pt idx="4">
                  <c:v>12.995284862062686</c:v>
                </c:pt>
                <c:pt idx="5">
                  <c:v>8.8637695242722678</c:v>
                </c:pt>
                <c:pt idx="6">
                  <c:v>22.812365869495835</c:v>
                </c:pt>
                <c:pt idx="7">
                  <c:v>71.496901940941214</c:v>
                </c:pt>
                <c:pt idx="8">
                  <c:v>50.346807533302638</c:v>
                </c:pt>
                <c:pt idx="9">
                  <c:v>68.426820872917531</c:v>
                </c:pt>
                <c:pt idx="10">
                  <c:v>52.618966302367937</c:v>
                </c:pt>
                <c:pt idx="11">
                  <c:v>66.082093032351537</c:v>
                </c:pt>
                <c:pt idx="12">
                  <c:v>75.165603967410547</c:v>
                </c:pt>
                <c:pt idx="13">
                  <c:v>88.584824164740297</c:v>
                </c:pt>
                <c:pt idx="14">
                  <c:v>66.868858916081933</c:v>
                </c:pt>
                <c:pt idx="15">
                  <c:v>58.976201249862385</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v4.00 -v1.xls]Residential'!$O$109:$O$124</c:f>
              <c:numCache>
                <c:formatCode>0.000</c:formatCode>
                <c:ptCount val="16"/>
                <c:pt idx="0">
                  <c:v>3.599944035071355</c:v>
                </c:pt>
                <c:pt idx="1">
                  <c:v>31.059064997076607</c:v>
                </c:pt>
                <c:pt idx="2">
                  <c:v>7.180905163645888</c:v>
                </c:pt>
                <c:pt idx="3">
                  <c:v>43.112129772755537</c:v>
                </c:pt>
                <c:pt idx="4">
                  <c:v>12.041837080261548</c:v>
                </c:pt>
                <c:pt idx="5">
                  <c:v>6.6947711390885543</c:v>
                </c:pt>
                <c:pt idx="6">
                  <c:v>21.507470954440581</c:v>
                </c:pt>
                <c:pt idx="7">
                  <c:v>67.226131260959349</c:v>
                </c:pt>
                <c:pt idx="8">
                  <c:v>48.212850252641246</c:v>
                </c:pt>
                <c:pt idx="9">
                  <c:v>59.711689384551839</c:v>
                </c:pt>
                <c:pt idx="10">
                  <c:v>46.18027094717668</c:v>
                </c:pt>
                <c:pt idx="11">
                  <c:v>58.340629221461022</c:v>
                </c:pt>
                <c:pt idx="12">
                  <c:v>68.557385759829899</c:v>
                </c:pt>
                <c:pt idx="13">
                  <c:v>77.958940403743043</c:v>
                </c:pt>
                <c:pt idx="14">
                  <c:v>58.771729989248094</c:v>
                </c:pt>
                <c:pt idx="15">
                  <c:v>54.721532610157944</c:v>
                </c:pt>
              </c:numCache>
            </c:numRef>
          </c:val>
          <c:smooth val="0"/>
        </c:ser>
        <c:dLbls>
          <c:showLegendKey val="0"/>
          <c:showVal val="0"/>
          <c:showCatName val="0"/>
          <c:showSerName val="0"/>
          <c:showPercent val="0"/>
          <c:showBubbleSize val="0"/>
        </c:dLbls>
        <c:marker val="1"/>
        <c:smooth val="0"/>
        <c:axId val="79726080"/>
        <c:axId val="79727616"/>
      </c:lineChart>
      <c:catAx>
        <c:axId val="79721984"/>
        <c:scaling>
          <c:orientation val="minMax"/>
        </c:scaling>
        <c:delete val="0"/>
        <c:axPos val="b"/>
        <c:title>
          <c:tx>
            <c:rich>
              <a:bodyPr/>
              <a:lstStyle/>
              <a:p>
                <a:pPr>
                  <a:defRPr sz="1000" b="1" i="0" u="none" strike="noStrike" baseline="0">
                    <a:solidFill>
                      <a:srgbClr val="000000"/>
                    </a:solidFill>
                    <a:latin typeface="Arial"/>
                    <a:ea typeface="Arial"/>
                    <a:cs typeface="Arial"/>
                  </a:defRPr>
                </a:pPr>
                <a:r>
                  <a:rPr lang="en-US"/>
                  <a:t>Climate Zone</a:t>
                </a:r>
              </a:p>
            </c:rich>
          </c:tx>
          <c:layout>
            <c:manualLayout>
              <c:xMode val="edge"/>
              <c:yMode val="edge"/>
              <c:x val="0.43192555476020061"/>
              <c:y val="0.9273207491505421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79723904"/>
        <c:crosses val="autoZero"/>
        <c:auto val="1"/>
        <c:lblAlgn val="ctr"/>
        <c:lblOffset val="100"/>
        <c:tickLblSkip val="1"/>
        <c:tickMarkSkip val="1"/>
        <c:noMultiLvlLbl val="0"/>
      </c:catAx>
      <c:valAx>
        <c:axId val="79723904"/>
        <c:scaling>
          <c:orientation val="minMax"/>
          <c:min val="0"/>
        </c:scaling>
        <c:delete val="0"/>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Arial"/>
                    <a:ea typeface="Arial"/>
                    <a:cs typeface="Arial"/>
                  </a:defRPr>
                </a:pPr>
                <a:r>
                  <a:rPr lang="en-US"/>
                  <a:t>energ (kWh) impact per unit</a:t>
                </a:r>
              </a:p>
            </c:rich>
          </c:tx>
          <c:layout>
            <c:manualLayout>
              <c:xMode val="edge"/>
              <c:yMode val="edge"/>
              <c:x val="2.0344229698560399E-2"/>
              <c:y val="0.3333340963193559"/>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00" b="0" i="0" u="none" strike="noStrike" baseline="0">
                <a:solidFill>
                  <a:srgbClr val="0000FF"/>
                </a:solidFill>
                <a:latin typeface="Arial"/>
                <a:ea typeface="Arial"/>
                <a:cs typeface="Arial"/>
              </a:defRPr>
            </a:pPr>
            <a:endParaRPr lang="en-US"/>
          </a:p>
        </c:txPr>
        <c:crossAx val="79721984"/>
        <c:crosses val="autoZero"/>
        <c:crossBetween val="between"/>
      </c:valAx>
      <c:catAx>
        <c:axId val="79726080"/>
        <c:scaling>
          <c:orientation val="minMax"/>
        </c:scaling>
        <c:delete val="1"/>
        <c:axPos val="b"/>
        <c:majorTickMark val="out"/>
        <c:minorTickMark val="none"/>
        <c:tickLblPos val="none"/>
        <c:crossAx val="79727616"/>
        <c:crosses val="autoZero"/>
        <c:auto val="1"/>
        <c:lblAlgn val="ctr"/>
        <c:lblOffset val="100"/>
        <c:noMultiLvlLbl val="0"/>
      </c:catAx>
      <c:valAx>
        <c:axId val="79727616"/>
        <c:scaling>
          <c:orientation val="minMax"/>
          <c:min val="0"/>
        </c:scaling>
        <c:delete val="0"/>
        <c:axPos val="r"/>
        <c:title>
          <c:tx>
            <c:rich>
              <a:bodyPr/>
              <a:lstStyle/>
              <a:p>
                <a:pPr>
                  <a:defRPr sz="800" b="0" i="0" u="none" strike="noStrike" baseline="0">
                    <a:solidFill>
                      <a:srgbClr val="000000"/>
                    </a:solidFill>
                    <a:latin typeface="Arial"/>
                    <a:ea typeface="Arial"/>
                    <a:cs typeface="Arial"/>
                  </a:defRPr>
                </a:pPr>
                <a:r>
                  <a:rPr lang="en-US"/>
                  <a:t>demand (kW) impact per unit</a:t>
                </a:r>
              </a:p>
            </c:rich>
          </c:tx>
          <c:layout>
            <c:manualLayout>
              <c:xMode val="edge"/>
              <c:yMode val="edge"/>
              <c:x val="0.94835822794877955"/>
              <c:y val="0.32832153248285867"/>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00" b="0" i="0" u="none" strike="noStrike" baseline="0">
                <a:solidFill>
                  <a:srgbClr val="FF0000"/>
                </a:solidFill>
                <a:latin typeface="Arial"/>
                <a:ea typeface="Arial"/>
                <a:cs typeface="Arial"/>
              </a:defRPr>
            </a:pPr>
            <a:endParaRPr lang="en-US"/>
          </a:p>
        </c:txPr>
        <c:crossAx val="79726080"/>
        <c:crosses val="max"/>
        <c:crossBetween val="between"/>
      </c:valAx>
      <c:spPr>
        <a:solidFill>
          <a:srgbClr val="FFFFFF"/>
        </a:solidFill>
        <a:ln w="25400">
          <a:solidFill>
            <a:srgbClr val="000000"/>
          </a:solidFill>
          <a:prstDash val="solid"/>
        </a:ln>
      </c:spPr>
    </c:plotArea>
    <c:legend>
      <c:legendPos val="r"/>
      <c:layout>
        <c:manualLayout>
          <c:xMode val="edge"/>
          <c:yMode val="edge"/>
          <c:x val="0.1563636363636364"/>
          <c:y val="0.18604727461392917"/>
          <c:w val="0.2945456136164798"/>
          <c:h val="0.18604702028525516"/>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Lighting - FL, (1) 48in, 3g T8 lamp, Premium IS EB, RLO (BF: &lt; .85), Lumens=2376, W/fixt=25</c:v>
            </c:pt>
          </c:strCache>
        </c:strRef>
      </c:tx>
      <c:layout>
        <c:manualLayout>
          <c:xMode val="edge"/>
          <c:yMode val="edge"/>
          <c:x val="0.17241383709174882"/>
          <c:y val="8.0402109930433466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9.5611285266457693E-2"/>
          <c:y val="0.19095477386934673"/>
          <c:w val="0.81034482758620685"/>
          <c:h val="0.65326633165829162"/>
        </c:manualLayout>
      </c:layout>
      <c:lineChart>
        <c:grouping val="standard"/>
        <c:varyColors val="0"/>
        <c:ser>
          <c:idx val="1"/>
          <c:order val="1"/>
          <c:tx>
            <c:v>Energy Impact kWh/unit (v4.00)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v4.00 -v1.xls]Non-Residential'!$R$109:$R$124</c:f>
              <c:numCache>
                <c:formatCode>0.0</c:formatCode>
                <c:ptCount val="16"/>
                <c:pt idx="0">
                  <c:v>5.3890091176783663</c:v>
                </c:pt>
                <c:pt idx="1">
                  <c:v>5.7179728243516506</c:v>
                </c:pt>
                <c:pt idx="2">
                  <c:v>5.6141720178332761</c:v>
                </c:pt>
                <c:pt idx="3">
                  <c:v>5.8252031078156588</c:v>
                </c:pt>
                <c:pt idx="4">
                  <c:v>5.7461181868710174</c:v>
                </c:pt>
                <c:pt idx="5">
                  <c:v>5.8774435023237697</c:v>
                </c:pt>
                <c:pt idx="6">
                  <c:v>5.9441704804815485</c:v>
                </c:pt>
                <c:pt idx="7">
                  <c:v>6.0249701398990041</c:v>
                </c:pt>
                <c:pt idx="8">
                  <c:v>6.0505138302527115</c:v>
                </c:pt>
                <c:pt idx="9">
                  <c:v>6.0808173980913187</c:v>
                </c:pt>
                <c:pt idx="10">
                  <c:v>5.8562753515213863</c:v>
                </c:pt>
                <c:pt idx="11">
                  <c:v>5.8661794444247377</c:v>
                </c:pt>
                <c:pt idx="12">
                  <c:v>6.0099513960336353</c:v>
                </c:pt>
                <c:pt idx="13">
                  <c:v>5.9400018921252107</c:v>
                </c:pt>
                <c:pt idx="14">
                  <c:v>6.4632336419862586</c:v>
                </c:pt>
                <c:pt idx="15">
                  <c:v>5.5378070268800004</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v4.00 -v1.xls]Non-Residential'!$Q$109:$Q$124</c:f>
              <c:numCache>
                <c:formatCode>0.0</c:formatCode>
                <c:ptCount val="16"/>
                <c:pt idx="0">
                  <c:v>5.3970414201183425</c:v>
                </c:pt>
                <c:pt idx="1">
                  <c:v>5.7692307692307692</c:v>
                </c:pt>
                <c:pt idx="2">
                  <c:v>5.6213017751479288</c:v>
                </c:pt>
                <c:pt idx="3">
                  <c:v>5.85798816568047</c:v>
                </c:pt>
                <c:pt idx="4">
                  <c:v>5.73668639053255</c:v>
                </c:pt>
                <c:pt idx="5">
                  <c:v>5.9082840236686414</c:v>
                </c:pt>
                <c:pt idx="6">
                  <c:v>5.973372781065093</c:v>
                </c:pt>
                <c:pt idx="7">
                  <c:v>6.0739644970414197</c:v>
                </c:pt>
                <c:pt idx="8">
                  <c:v>6.0739644970414197</c:v>
                </c:pt>
                <c:pt idx="9">
                  <c:v>6.1775147928994043</c:v>
                </c:pt>
                <c:pt idx="10">
                  <c:v>5.9378698224852071</c:v>
                </c:pt>
                <c:pt idx="11">
                  <c:v>5.9201183431952655</c:v>
                </c:pt>
                <c:pt idx="12">
                  <c:v>6.1420118343195265</c:v>
                </c:pt>
                <c:pt idx="13">
                  <c:v>6.0591715976331395</c:v>
                </c:pt>
                <c:pt idx="14">
                  <c:v>6.8017751479289945</c:v>
                </c:pt>
                <c:pt idx="15">
                  <c:v>5.5118343195266268</c:v>
                </c:pt>
              </c:numCache>
            </c:numRef>
          </c:val>
          <c:smooth val="0"/>
        </c:ser>
        <c:dLbls>
          <c:showLegendKey val="0"/>
          <c:showVal val="0"/>
          <c:showCatName val="0"/>
          <c:showSerName val="0"/>
          <c:showPercent val="0"/>
          <c:showBubbleSize val="0"/>
        </c:dLbls>
        <c:marker val="1"/>
        <c:smooth val="0"/>
        <c:axId val="79760768"/>
        <c:axId val="79762944"/>
      </c:lineChart>
      <c:lineChart>
        <c:grouping val="standard"/>
        <c:varyColors val="0"/>
        <c:ser>
          <c:idx val="0"/>
          <c:order val="0"/>
          <c:tx>
            <c:v>Demand Impact W/unit (v4.00)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v4.00 -v1.xls]Non-Residential'!$P$109:$P$124</c:f>
              <c:numCache>
                <c:formatCode>0.000</c:formatCode>
                <c:ptCount val="16"/>
                <c:pt idx="0">
                  <c:v>1.6813424628374782</c:v>
                </c:pt>
                <c:pt idx="1">
                  <c:v>1.8172266174714096</c:v>
                </c:pt>
                <c:pt idx="2">
                  <c:v>1.8481746904601402</c:v>
                </c:pt>
                <c:pt idx="3">
                  <c:v>1.8522250209907647</c:v>
                </c:pt>
                <c:pt idx="4">
                  <c:v>1.8221343172384421</c:v>
                </c:pt>
                <c:pt idx="5">
                  <c:v>1.8438168895826679</c:v>
                </c:pt>
                <c:pt idx="6">
                  <c:v>1.8054688331500337</c:v>
                </c:pt>
                <c:pt idx="7">
                  <c:v>1.8715601754946134</c:v>
                </c:pt>
                <c:pt idx="8">
                  <c:v>1.8840452454441172</c:v>
                </c:pt>
                <c:pt idx="9">
                  <c:v>1.8782624377668202</c:v>
                </c:pt>
                <c:pt idx="10">
                  <c:v>1.8829484041106421</c:v>
                </c:pt>
                <c:pt idx="11">
                  <c:v>1.8667884722271497</c:v>
                </c:pt>
                <c:pt idx="12">
                  <c:v>1.912075306583414</c:v>
                </c:pt>
                <c:pt idx="13">
                  <c:v>1.8931747495890539</c:v>
                </c:pt>
                <c:pt idx="14">
                  <c:v>1.9139142157732278</c:v>
                </c:pt>
                <c:pt idx="15">
                  <c:v>1.8771478577594862</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v4.00 -v1.xls]Non-Residential'!$O$109:$O$124</c:f>
              <c:numCache>
                <c:formatCode>0.000</c:formatCode>
                <c:ptCount val="16"/>
                <c:pt idx="0">
                  <c:v>1.5875680473372773</c:v>
                </c:pt>
                <c:pt idx="1">
                  <c:v>1.7863609467455623</c:v>
                </c:pt>
                <c:pt idx="2">
                  <c:v>1.7194319526627218</c:v>
                </c:pt>
                <c:pt idx="3">
                  <c:v>1.7478047337278098</c:v>
                </c:pt>
                <c:pt idx="4">
                  <c:v>1.7060443786982249</c:v>
                </c:pt>
                <c:pt idx="5">
                  <c:v>1.7405473372781064</c:v>
                </c:pt>
                <c:pt idx="6">
                  <c:v>1.7132958579881647</c:v>
                </c:pt>
                <c:pt idx="7">
                  <c:v>1.7867071005917174</c:v>
                </c:pt>
                <c:pt idx="8">
                  <c:v>1.8118165680473373</c:v>
                </c:pt>
                <c:pt idx="9">
                  <c:v>1.8533254437869822</c:v>
                </c:pt>
                <c:pt idx="10">
                  <c:v>1.8201952662721896</c:v>
                </c:pt>
                <c:pt idx="11">
                  <c:v>1.7936804733727811</c:v>
                </c:pt>
                <c:pt idx="12">
                  <c:v>1.8286834319526635</c:v>
                </c:pt>
                <c:pt idx="13">
                  <c:v>1.8559467455621292</c:v>
                </c:pt>
                <c:pt idx="14">
                  <c:v>1.7916035502958578</c:v>
                </c:pt>
                <c:pt idx="15">
                  <c:v>1.736215976331362</c:v>
                </c:pt>
              </c:numCache>
            </c:numRef>
          </c:val>
          <c:smooth val="0"/>
        </c:ser>
        <c:dLbls>
          <c:showLegendKey val="0"/>
          <c:showVal val="0"/>
          <c:showCatName val="0"/>
          <c:showSerName val="0"/>
          <c:showPercent val="0"/>
          <c:showBubbleSize val="0"/>
        </c:dLbls>
        <c:marker val="1"/>
        <c:smooth val="0"/>
        <c:axId val="79764864"/>
        <c:axId val="79766656"/>
      </c:lineChart>
      <c:catAx>
        <c:axId val="79760768"/>
        <c:scaling>
          <c:orientation val="minMax"/>
        </c:scaling>
        <c:delete val="0"/>
        <c:axPos val="b"/>
        <c:title>
          <c:tx>
            <c:rich>
              <a:bodyPr/>
              <a:lstStyle/>
              <a:p>
                <a:pPr>
                  <a:defRPr sz="800" b="1" i="0" u="none" strike="noStrike" baseline="0">
                    <a:solidFill>
                      <a:srgbClr val="000000"/>
                    </a:solidFill>
                    <a:latin typeface="Arial"/>
                    <a:ea typeface="Arial"/>
                    <a:cs typeface="Arial"/>
                  </a:defRPr>
                </a:pPr>
                <a:r>
                  <a:rPr lang="en-US"/>
                  <a:t>Climate Zone</a:t>
                </a:r>
              </a:p>
            </c:rich>
          </c:tx>
          <c:layout>
            <c:manualLayout>
              <c:xMode val="edge"/>
              <c:yMode val="edge"/>
              <c:x val="0.44043892295966075"/>
              <c:y val="0.9120602400428101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79762944"/>
        <c:crosses val="autoZero"/>
        <c:auto val="1"/>
        <c:lblAlgn val="ctr"/>
        <c:lblOffset val="100"/>
        <c:tickLblSkip val="1"/>
        <c:tickMarkSkip val="1"/>
        <c:noMultiLvlLbl val="0"/>
      </c:catAx>
      <c:valAx>
        <c:axId val="79762944"/>
        <c:scaling>
          <c:orientation val="minMax"/>
          <c:min val="0"/>
        </c:scaling>
        <c:delete val="0"/>
        <c:axPos val="l"/>
        <c:majorGridlines>
          <c:spPr>
            <a:ln w="3175">
              <a:solidFill>
                <a:srgbClr val="000000"/>
              </a:solidFill>
              <a:prstDash val="solid"/>
            </a:ln>
          </c:spPr>
        </c:majorGridlines>
        <c:title>
          <c:tx>
            <c:rich>
              <a:bodyPr/>
              <a:lstStyle/>
              <a:p>
                <a:pPr>
                  <a:defRPr sz="975" b="0" i="0" u="none" strike="noStrike" baseline="0">
                    <a:solidFill>
                      <a:srgbClr val="000000"/>
                    </a:solidFill>
                    <a:latin typeface="Arial"/>
                    <a:ea typeface="Arial"/>
                    <a:cs typeface="Arial"/>
                  </a:defRPr>
                </a:pPr>
                <a:r>
                  <a:rPr lang="en-US"/>
                  <a:t>energ (kWh) impact per unit</a:t>
                </a:r>
              </a:p>
            </c:rich>
          </c:tx>
          <c:layout>
            <c:manualLayout>
              <c:xMode val="edge"/>
              <c:yMode val="edge"/>
              <c:x val="2.0376128561086608E-2"/>
              <c:y val="0.31155773004102633"/>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25" b="0" i="0" u="none" strike="noStrike" baseline="0">
                <a:solidFill>
                  <a:srgbClr val="0000FF"/>
                </a:solidFill>
                <a:latin typeface="Arial"/>
                <a:ea typeface="Arial"/>
                <a:cs typeface="Arial"/>
              </a:defRPr>
            </a:pPr>
            <a:endParaRPr lang="en-US"/>
          </a:p>
        </c:txPr>
        <c:crossAx val="79760768"/>
        <c:crosses val="autoZero"/>
        <c:crossBetween val="between"/>
      </c:valAx>
      <c:catAx>
        <c:axId val="79764864"/>
        <c:scaling>
          <c:orientation val="minMax"/>
        </c:scaling>
        <c:delete val="1"/>
        <c:axPos val="b"/>
        <c:majorTickMark val="out"/>
        <c:minorTickMark val="none"/>
        <c:tickLblPos val="none"/>
        <c:crossAx val="79766656"/>
        <c:crosses val="autoZero"/>
        <c:auto val="1"/>
        <c:lblAlgn val="ctr"/>
        <c:lblOffset val="100"/>
        <c:noMultiLvlLbl val="0"/>
      </c:catAx>
      <c:valAx>
        <c:axId val="79766656"/>
        <c:scaling>
          <c:orientation val="minMax"/>
          <c:min val="0"/>
        </c:scaling>
        <c:delete val="0"/>
        <c:axPos val="r"/>
        <c:title>
          <c:tx>
            <c:rich>
              <a:bodyPr/>
              <a:lstStyle/>
              <a:p>
                <a:pPr>
                  <a:defRPr sz="975" b="0" i="0" u="none" strike="noStrike" baseline="0">
                    <a:solidFill>
                      <a:srgbClr val="000000"/>
                    </a:solidFill>
                    <a:latin typeface="Arial"/>
                    <a:ea typeface="Arial"/>
                    <a:cs typeface="Arial"/>
                  </a:defRPr>
                </a:pPr>
                <a:r>
                  <a:rPr lang="en-US"/>
                  <a:t>demand (kW) impact per unit</a:t>
                </a:r>
              </a:p>
            </c:rich>
          </c:tx>
          <c:layout>
            <c:manualLayout>
              <c:xMode val="edge"/>
              <c:yMode val="edge"/>
              <c:x val="0.94514100834601078"/>
              <c:y val="0.3015075300053513"/>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25" b="0" i="0" u="none" strike="noStrike" baseline="0">
                <a:solidFill>
                  <a:srgbClr val="FF0000"/>
                </a:solidFill>
                <a:latin typeface="Arial"/>
                <a:ea typeface="Arial"/>
                <a:cs typeface="Arial"/>
              </a:defRPr>
            </a:pPr>
            <a:endParaRPr lang="en-US"/>
          </a:p>
        </c:txPr>
        <c:crossAx val="79764864"/>
        <c:crosses val="max"/>
        <c:crossBetween val="between"/>
      </c:valAx>
      <c:spPr>
        <a:solidFill>
          <a:srgbClr val="FFFFFF"/>
        </a:solidFill>
        <a:ln w="25400">
          <a:solidFill>
            <a:srgbClr val="000000"/>
          </a:solidFill>
          <a:prstDash val="solid"/>
        </a:ln>
      </c:spPr>
    </c:plotArea>
    <c:legend>
      <c:legendPos val="r"/>
      <c:layout>
        <c:manualLayout>
          <c:xMode val="edge"/>
          <c:yMode val="edge"/>
          <c:x val="0.54799625593580881"/>
          <c:y val="0.61941925948576815"/>
          <c:w val="0.29526187719852148"/>
          <c:h val="0.18640827663532381"/>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Lighting - CFL, 20W, Indoor, Non-Reflector</c:v>
            </c:pt>
          </c:strCache>
        </c:strRef>
      </c:tx>
      <c:layout>
        <c:manualLayout>
          <c:xMode val="edge"/>
          <c:yMode val="edge"/>
          <c:x val="0.17241383709174882"/>
          <c:y val="8.0402109930433466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9.5611285266457693E-2"/>
          <c:y val="0.19095477386934673"/>
          <c:w val="0.81034482758620685"/>
          <c:h val="0.65326633165829162"/>
        </c:manualLayout>
      </c:layout>
      <c:lineChart>
        <c:grouping val="standard"/>
        <c:varyColors val="0"/>
        <c:ser>
          <c:idx val="1"/>
          <c:order val="1"/>
          <c:tx>
            <c:v>Energy Impact kWh/unit (v4.00)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v4.00 -v1.xls]Non-Residential'!$R$109:$R$124</c:f>
              <c:numCache>
                <c:formatCode>0.0</c:formatCode>
                <c:ptCount val="16"/>
                <c:pt idx="0">
                  <c:v>211.55494770587694</c:v>
                </c:pt>
                <c:pt idx="1">
                  <c:v>223.95162544409141</c:v>
                </c:pt>
                <c:pt idx="2">
                  <c:v>220.31516031149201</c:v>
                </c:pt>
                <c:pt idx="3">
                  <c:v>228.34170012719653</c:v>
                </c:pt>
                <c:pt idx="4">
                  <c:v>225.30333781245903</c:v>
                </c:pt>
                <c:pt idx="5">
                  <c:v>229.43822195994323</c:v>
                </c:pt>
                <c:pt idx="6">
                  <c:v>231.54952490699498</c:v>
                </c:pt>
                <c:pt idx="7">
                  <c:v>233.90405633331073</c:v>
                </c:pt>
                <c:pt idx="8">
                  <c:v>234.73940660225765</c:v>
                </c:pt>
                <c:pt idx="9">
                  <c:v>236.52773402766437</c:v>
                </c:pt>
                <c:pt idx="10">
                  <c:v>228.75439107152113</c:v>
                </c:pt>
                <c:pt idx="11">
                  <c:v>229.53989943897957</c:v>
                </c:pt>
                <c:pt idx="12">
                  <c:v>233.75054327672618</c:v>
                </c:pt>
                <c:pt idx="13">
                  <c:v>231.41196125888678</c:v>
                </c:pt>
                <c:pt idx="14">
                  <c:v>248.62336668088818</c:v>
                </c:pt>
                <c:pt idx="15">
                  <c:v>217.80910950465125</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v4.00 -v1.xls]Non-Residential'!$Q$109:$Q$124</c:f>
              <c:numCache>
                <c:formatCode>0.0</c:formatCode>
                <c:ptCount val="16"/>
                <c:pt idx="0">
                  <c:v>211.50228379660248</c:v>
                </c:pt>
                <c:pt idx="1">
                  <c:v>223.95953734186799</c:v>
                </c:pt>
                <c:pt idx="2">
                  <c:v>219.7028274438218</c:v>
                </c:pt>
                <c:pt idx="3">
                  <c:v>228.33581774266841</c:v>
                </c:pt>
                <c:pt idx="4">
                  <c:v>224.25647075704074</c:v>
                </c:pt>
                <c:pt idx="5">
                  <c:v>229.43785920971857</c:v>
                </c:pt>
                <c:pt idx="6">
                  <c:v>231.54827858332868</c:v>
                </c:pt>
                <c:pt idx="7">
                  <c:v>233.95363853039882</c:v>
                </c:pt>
                <c:pt idx="8">
                  <c:v>235.05767283916163</c:v>
                </c:pt>
                <c:pt idx="9">
                  <c:v>238.23625537070831</c:v>
                </c:pt>
                <c:pt idx="10">
                  <c:v>231.04209678833629</c:v>
                </c:pt>
                <c:pt idx="11">
                  <c:v>230.17122495994388</c:v>
                </c:pt>
                <c:pt idx="12">
                  <c:v>241.69782142543994</c:v>
                </c:pt>
                <c:pt idx="13">
                  <c:v>237.71811652544062</c:v>
                </c:pt>
                <c:pt idx="14">
                  <c:v>270.58605489083214</c:v>
                </c:pt>
                <c:pt idx="15">
                  <c:v>212.13202177777424</c:v>
                </c:pt>
              </c:numCache>
            </c:numRef>
          </c:val>
          <c:smooth val="0"/>
        </c:ser>
        <c:dLbls>
          <c:showLegendKey val="0"/>
          <c:showVal val="0"/>
          <c:showCatName val="0"/>
          <c:showSerName val="0"/>
          <c:showPercent val="0"/>
          <c:showBubbleSize val="0"/>
        </c:dLbls>
        <c:marker val="1"/>
        <c:smooth val="0"/>
        <c:axId val="79799808"/>
        <c:axId val="79801728"/>
      </c:lineChart>
      <c:lineChart>
        <c:grouping val="standard"/>
        <c:varyColors val="0"/>
        <c:ser>
          <c:idx val="0"/>
          <c:order val="0"/>
          <c:tx>
            <c:v>Demand Impact W/unit (v4.00)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v4.00 -v1.xls]Non-Residential'!$P$109:$P$124</c:f>
              <c:numCache>
                <c:formatCode>0.000</c:formatCode>
                <c:ptCount val="16"/>
                <c:pt idx="0">
                  <c:v>43.514571778319144</c:v>
                </c:pt>
                <c:pt idx="1">
                  <c:v>47.282420163242136</c:v>
                </c:pt>
                <c:pt idx="2">
                  <c:v>48.143090118145253</c:v>
                </c:pt>
                <c:pt idx="3">
                  <c:v>48.769503136052464</c:v>
                </c:pt>
                <c:pt idx="4">
                  <c:v>46.932131279581199</c:v>
                </c:pt>
                <c:pt idx="5">
                  <c:v>47.519667614327318</c:v>
                </c:pt>
                <c:pt idx="6">
                  <c:v>47.036201169889104</c:v>
                </c:pt>
                <c:pt idx="7">
                  <c:v>48.224432101374461</c:v>
                </c:pt>
                <c:pt idx="8">
                  <c:v>49.271710135450363</c:v>
                </c:pt>
                <c:pt idx="9">
                  <c:v>46.601978524121513</c:v>
                </c:pt>
                <c:pt idx="10">
                  <c:v>48.994788530780355</c:v>
                </c:pt>
                <c:pt idx="11">
                  <c:v>48.855629941824525</c:v>
                </c:pt>
                <c:pt idx="12">
                  <c:v>49.858448999772705</c:v>
                </c:pt>
                <c:pt idx="13">
                  <c:v>44.584178984261918</c:v>
                </c:pt>
                <c:pt idx="14">
                  <c:v>50.230269584876773</c:v>
                </c:pt>
                <c:pt idx="15">
                  <c:v>47.998747971434604</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v4.00 -v1.xls]Non-Residential'!$O$109:$O$124</c:f>
              <c:numCache>
                <c:formatCode>0.000</c:formatCode>
                <c:ptCount val="16"/>
                <c:pt idx="0">
                  <c:v>41.375180352175015</c:v>
                </c:pt>
                <c:pt idx="1">
                  <c:v>47.79790990761186</c:v>
                </c:pt>
                <c:pt idx="2">
                  <c:v>46.575500801122367</c:v>
                </c:pt>
                <c:pt idx="3">
                  <c:v>48.104408963004886</c:v>
                </c:pt>
                <c:pt idx="4">
                  <c:v>46.061945491793423</c:v>
                </c:pt>
                <c:pt idx="5">
                  <c:v>46.82261317348086</c:v>
                </c:pt>
                <c:pt idx="6">
                  <c:v>46.294111551307708</c:v>
                </c:pt>
                <c:pt idx="7">
                  <c:v>47.88459852210859</c:v>
                </c:pt>
                <c:pt idx="8">
                  <c:v>48.795526468923619</c:v>
                </c:pt>
                <c:pt idx="9">
                  <c:v>47.939202385032964</c:v>
                </c:pt>
                <c:pt idx="10">
                  <c:v>47.055576369680104</c:v>
                </c:pt>
                <c:pt idx="11">
                  <c:v>49.476679766279524</c:v>
                </c:pt>
                <c:pt idx="12">
                  <c:v>46.572710822724829</c:v>
                </c:pt>
                <c:pt idx="13">
                  <c:v>45.800883227446967</c:v>
                </c:pt>
                <c:pt idx="14">
                  <c:v>48.072124927261278</c:v>
                </c:pt>
                <c:pt idx="15">
                  <c:v>47.274988242233903</c:v>
                </c:pt>
              </c:numCache>
            </c:numRef>
          </c:val>
          <c:smooth val="0"/>
        </c:ser>
        <c:dLbls>
          <c:showLegendKey val="0"/>
          <c:showVal val="0"/>
          <c:showCatName val="0"/>
          <c:showSerName val="0"/>
          <c:showPercent val="0"/>
          <c:showBubbleSize val="0"/>
        </c:dLbls>
        <c:marker val="1"/>
        <c:smooth val="0"/>
        <c:axId val="79803904"/>
        <c:axId val="79805440"/>
      </c:lineChart>
      <c:catAx>
        <c:axId val="79799808"/>
        <c:scaling>
          <c:orientation val="minMax"/>
        </c:scaling>
        <c:delete val="0"/>
        <c:axPos val="b"/>
        <c:title>
          <c:tx>
            <c:rich>
              <a:bodyPr/>
              <a:lstStyle/>
              <a:p>
                <a:pPr>
                  <a:defRPr sz="800" b="1" i="0" u="none" strike="noStrike" baseline="0">
                    <a:solidFill>
                      <a:srgbClr val="000000"/>
                    </a:solidFill>
                    <a:latin typeface="Arial"/>
                    <a:ea typeface="Arial"/>
                    <a:cs typeface="Arial"/>
                  </a:defRPr>
                </a:pPr>
                <a:r>
                  <a:rPr lang="en-US"/>
                  <a:t>Climate Zone</a:t>
                </a:r>
              </a:p>
            </c:rich>
          </c:tx>
          <c:layout>
            <c:manualLayout>
              <c:xMode val="edge"/>
              <c:yMode val="edge"/>
              <c:x val="0.44043892295966075"/>
              <c:y val="0.9120602400428101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79801728"/>
        <c:crosses val="autoZero"/>
        <c:auto val="1"/>
        <c:lblAlgn val="ctr"/>
        <c:lblOffset val="100"/>
        <c:tickLblSkip val="1"/>
        <c:tickMarkSkip val="1"/>
        <c:noMultiLvlLbl val="0"/>
      </c:catAx>
      <c:valAx>
        <c:axId val="79801728"/>
        <c:scaling>
          <c:orientation val="minMax"/>
          <c:min val="0"/>
        </c:scaling>
        <c:delete val="0"/>
        <c:axPos val="l"/>
        <c:majorGridlines>
          <c:spPr>
            <a:ln w="3175">
              <a:solidFill>
                <a:srgbClr val="000000"/>
              </a:solidFill>
              <a:prstDash val="solid"/>
            </a:ln>
          </c:spPr>
        </c:majorGridlines>
        <c:title>
          <c:tx>
            <c:rich>
              <a:bodyPr/>
              <a:lstStyle/>
              <a:p>
                <a:pPr>
                  <a:defRPr sz="975" b="0" i="0" u="none" strike="noStrike" baseline="0">
                    <a:solidFill>
                      <a:srgbClr val="000000"/>
                    </a:solidFill>
                    <a:latin typeface="Arial"/>
                    <a:ea typeface="Arial"/>
                    <a:cs typeface="Arial"/>
                  </a:defRPr>
                </a:pPr>
                <a:r>
                  <a:rPr lang="en-US"/>
                  <a:t>energ (kWh) impact per unit</a:t>
                </a:r>
              </a:p>
            </c:rich>
          </c:tx>
          <c:layout>
            <c:manualLayout>
              <c:xMode val="edge"/>
              <c:yMode val="edge"/>
              <c:x val="2.0376128561086608E-2"/>
              <c:y val="0.31155773004102633"/>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25" b="0" i="0" u="none" strike="noStrike" baseline="0">
                <a:solidFill>
                  <a:srgbClr val="0000FF"/>
                </a:solidFill>
                <a:latin typeface="Arial"/>
                <a:ea typeface="Arial"/>
                <a:cs typeface="Arial"/>
              </a:defRPr>
            </a:pPr>
            <a:endParaRPr lang="en-US"/>
          </a:p>
        </c:txPr>
        <c:crossAx val="79799808"/>
        <c:crosses val="autoZero"/>
        <c:crossBetween val="between"/>
      </c:valAx>
      <c:catAx>
        <c:axId val="79803904"/>
        <c:scaling>
          <c:orientation val="minMax"/>
        </c:scaling>
        <c:delete val="1"/>
        <c:axPos val="b"/>
        <c:majorTickMark val="out"/>
        <c:minorTickMark val="none"/>
        <c:tickLblPos val="none"/>
        <c:crossAx val="79805440"/>
        <c:crosses val="autoZero"/>
        <c:auto val="1"/>
        <c:lblAlgn val="ctr"/>
        <c:lblOffset val="100"/>
        <c:noMultiLvlLbl val="0"/>
      </c:catAx>
      <c:valAx>
        <c:axId val="79805440"/>
        <c:scaling>
          <c:orientation val="minMax"/>
          <c:min val="0"/>
        </c:scaling>
        <c:delete val="0"/>
        <c:axPos val="r"/>
        <c:title>
          <c:tx>
            <c:rich>
              <a:bodyPr/>
              <a:lstStyle/>
              <a:p>
                <a:pPr>
                  <a:defRPr sz="975" b="0" i="0" u="none" strike="noStrike" baseline="0">
                    <a:solidFill>
                      <a:srgbClr val="000000"/>
                    </a:solidFill>
                    <a:latin typeface="Arial"/>
                    <a:ea typeface="Arial"/>
                    <a:cs typeface="Arial"/>
                  </a:defRPr>
                </a:pPr>
                <a:r>
                  <a:rPr lang="en-US"/>
                  <a:t>demand (kW) impact per unit</a:t>
                </a:r>
              </a:p>
            </c:rich>
          </c:tx>
          <c:layout>
            <c:manualLayout>
              <c:xMode val="edge"/>
              <c:yMode val="edge"/>
              <c:x val="0.94514100834601078"/>
              <c:y val="0.3015075300053513"/>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25" b="0" i="0" u="none" strike="noStrike" baseline="0">
                <a:solidFill>
                  <a:srgbClr val="FF0000"/>
                </a:solidFill>
                <a:latin typeface="Arial"/>
                <a:ea typeface="Arial"/>
                <a:cs typeface="Arial"/>
              </a:defRPr>
            </a:pPr>
            <a:endParaRPr lang="en-US"/>
          </a:p>
        </c:txPr>
        <c:crossAx val="79803904"/>
        <c:crosses val="max"/>
        <c:crossBetween val="between"/>
      </c:valAx>
      <c:spPr>
        <a:solidFill>
          <a:srgbClr val="FFFFFF"/>
        </a:solidFill>
        <a:ln w="25400">
          <a:solidFill>
            <a:srgbClr val="000000"/>
          </a:solidFill>
          <a:prstDash val="solid"/>
        </a:ln>
      </c:spPr>
    </c:plotArea>
    <c:legend>
      <c:legendPos val="r"/>
      <c:layout>
        <c:manualLayout>
          <c:xMode val="edge"/>
          <c:yMode val="edge"/>
          <c:x val="0.54799625593580881"/>
          <c:y val="0.61941925948576815"/>
          <c:w val="0.29526187719852148"/>
          <c:h val="0.18640827663532381"/>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HVAC - Pkg AC EER = 12.0 (90-134 kBtuh)</c:v>
            </c:pt>
          </c:strCache>
        </c:strRef>
      </c:tx>
      <c:layout>
        <c:manualLayout>
          <c:xMode val="edge"/>
          <c:yMode val="edge"/>
          <c:x val="0.17241383709174882"/>
          <c:y val="8.0402109930433466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9.5611285266457693E-2"/>
          <c:y val="0.19095477386934673"/>
          <c:w val="0.81034482758620685"/>
          <c:h val="0.65326633165829162"/>
        </c:manualLayout>
      </c:layout>
      <c:lineChart>
        <c:grouping val="standard"/>
        <c:varyColors val="0"/>
        <c:ser>
          <c:idx val="1"/>
          <c:order val="1"/>
          <c:tx>
            <c:v>Energy Impact kWh/unit (v4.00)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v4.00 -v1.xls]Non-Residential'!$R$109:$R$124</c:f>
              <c:numCache>
                <c:formatCode>0.0</c:formatCode>
                <c:ptCount val="16"/>
                <c:pt idx="0">
                  <c:v>221.78536256443468</c:v>
                </c:pt>
                <c:pt idx="1">
                  <c:v>289.74225479722509</c:v>
                </c:pt>
                <c:pt idx="2">
                  <c:v>262.03355249016505</c:v>
                </c:pt>
                <c:pt idx="3">
                  <c:v>308.49978487434498</c:v>
                </c:pt>
                <c:pt idx="4">
                  <c:v>281.45392002686117</c:v>
                </c:pt>
                <c:pt idx="5">
                  <c:v>306.06544216189644</c:v>
                </c:pt>
                <c:pt idx="6">
                  <c:v>325.63828735291213</c:v>
                </c:pt>
                <c:pt idx="7">
                  <c:v>337.4614007508971</c:v>
                </c:pt>
                <c:pt idx="8">
                  <c:v>328.80292332909727</c:v>
                </c:pt>
                <c:pt idx="9">
                  <c:v>340.31678142551641</c:v>
                </c:pt>
                <c:pt idx="10">
                  <c:v>319.07424854876456</c:v>
                </c:pt>
                <c:pt idx="11">
                  <c:v>313.06778061935967</c:v>
                </c:pt>
                <c:pt idx="12">
                  <c:v>339.71117015033667</c:v>
                </c:pt>
                <c:pt idx="13">
                  <c:v>329.96904776354916</c:v>
                </c:pt>
                <c:pt idx="14">
                  <c:v>388.05245264691598</c:v>
                </c:pt>
                <c:pt idx="15">
                  <c:v>265.74784873972908</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v4.00 -v1.xls]Non-Residential'!$Q$109:$Q$124</c:f>
              <c:numCache>
                <c:formatCode>0.0</c:formatCode>
                <c:ptCount val="16"/>
                <c:pt idx="0">
                  <c:v>223.40099901518047</c:v>
                </c:pt>
                <c:pt idx="1">
                  <c:v>298.80525767758866</c:v>
                </c:pt>
                <c:pt idx="2">
                  <c:v>266.46866353000581</c:v>
                </c:pt>
                <c:pt idx="3">
                  <c:v>319.40433408549904</c:v>
                </c:pt>
                <c:pt idx="4">
                  <c:v>284.04271720919695</c:v>
                </c:pt>
                <c:pt idx="5">
                  <c:v>312.23317816609119</c:v>
                </c:pt>
                <c:pt idx="6">
                  <c:v>333.34322159596587</c:v>
                </c:pt>
                <c:pt idx="7">
                  <c:v>347.94918908397011</c:v>
                </c:pt>
                <c:pt idx="8">
                  <c:v>342.14355305182568</c:v>
                </c:pt>
                <c:pt idx="9">
                  <c:v>354.6988461448077</c:v>
                </c:pt>
                <c:pt idx="10">
                  <c:v>340.1027261951798</c:v>
                </c:pt>
                <c:pt idx="11">
                  <c:v>327.90498964569889</c:v>
                </c:pt>
                <c:pt idx="12">
                  <c:v>364.34226390533843</c:v>
                </c:pt>
                <c:pt idx="13">
                  <c:v>354.74904412210958</c:v>
                </c:pt>
                <c:pt idx="14">
                  <c:v>440.0068447130883</c:v>
                </c:pt>
                <c:pt idx="15">
                  <c:v>277.41973478182524</c:v>
                </c:pt>
              </c:numCache>
            </c:numRef>
          </c:val>
          <c:smooth val="0"/>
        </c:ser>
        <c:dLbls>
          <c:showLegendKey val="0"/>
          <c:showVal val="0"/>
          <c:showCatName val="0"/>
          <c:showSerName val="0"/>
          <c:showPercent val="0"/>
          <c:showBubbleSize val="0"/>
        </c:dLbls>
        <c:marker val="1"/>
        <c:smooth val="0"/>
        <c:axId val="79842688"/>
        <c:axId val="79848960"/>
      </c:lineChart>
      <c:lineChart>
        <c:grouping val="standard"/>
        <c:varyColors val="0"/>
        <c:ser>
          <c:idx val="0"/>
          <c:order val="0"/>
          <c:tx>
            <c:v>Demand Impact W/unit (v4.00)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v4.00 -v1.xls]Non-Residential'!$P$109:$P$124</c:f>
              <c:numCache>
                <c:formatCode>0.000</c:formatCode>
                <c:ptCount val="16"/>
                <c:pt idx="0">
                  <c:v>110.16049897525528</c:v>
                </c:pt>
                <c:pt idx="1">
                  <c:v>149.09701280612325</c:v>
                </c:pt>
                <c:pt idx="2">
                  <c:v>163.23180696911902</c:v>
                </c:pt>
                <c:pt idx="3">
                  <c:v>171.56812673532121</c:v>
                </c:pt>
                <c:pt idx="4">
                  <c:v>163.69002956765453</c:v>
                </c:pt>
                <c:pt idx="5">
                  <c:v>158.46837631185389</c:v>
                </c:pt>
                <c:pt idx="6">
                  <c:v>166.51900194469158</c:v>
                </c:pt>
                <c:pt idx="7">
                  <c:v>161.44558058874358</c:v>
                </c:pt>
                <c:pt idx="8">
                  <c:v>157.92446702688329</c:v>
                </c:pt>
                <c:pt idx="9">
                  <c:v>130.36507414283366</c:v>
                </c:pt>
                <c:pt idx="10">
                  <c:v>140.08449077591717</c:v>
                </c:pt>
                <c:pt idx="11">
                  <c:v>130.07138237336005</c:v>
                </c:pt>
                <c:pt idx="12">
                  <c:v>127.34174108810006</c:v>
                </c:pt>
                <c:pt idx="13">
                  <c:v>127.06499969654669</c:v>
                </c:pt>
                <c:pt idx="14">
                  <c:v>92.038994733093872</c:v>
                </c:pt>
                <c:pt idx="15">
                  <c:v>160.8013357905968</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v4.00 -v1.xls]Non-Residential'!$O$109:$O$124</c:f>
              <c:numCache>
                <c:formatCode>0.000</c:formatCode>
                <c:ptCount val="16"/>
                <c:pt idx="0">
                  <c:v>107.67893107150132</c:v>
                </c:pt>
                <c:pt idx="1">
                  <c:v>148.19740632057227</c:v>
                </c:pt>
                <c:pt idx="2">
                  <c:v>161.83088644218742</c:v>
                </c:pt>
                <c:pt idx="3">
                  <c:v>169.32246252325382</c:v>
                </c:pt>
                <c:pt idx="4">
                  <c:v>159.20246134448888</c:v>
                </c:pt>
                <c:pt idx="5">
                  <c:v>156.33380164058605</c:v>
                </c:pt>
                <c:pt idx="6">
                  <c:v>163.20214904907877</c:v>
                </c:pt>
                <c:pt idx="7">
                  <c:v>158.93983678453139</c:v>
                </c:pt>
                <c:pt idx="8">
                  <c:v>155.16735240793648</c:v>
                </c:pt>
                <c:pt idx="9">
                  <c:v>130.36889291001819</c:v>
                </c:pt>
                <c:pt idx="10">
                  <c:v>139.7635473968939</c:v>
                </c:pt>
                <c:pt idx="11">
                  <c:v>130.33899210224956</c:v>
                </c:pt>
                <c:pt idx="12">
                  <c:v>127.31960137853035</c:v>
                </c:pt>
                <c:pt idx="13">
                  <c:v>128.76888996783401</c:v>
                </c:pt>
                <c:pt idx="14">
                  <c:v>93.76829136333096</c:v>
                </c:pt>
                <c:pt idx="15">
                  <c:v>159.91173250931854</c:v>
                </c:pt>
              </c:numCache>
            </c:numRef>
          </c:val>
          <c:smooth val="0"/>
        </c:ser>
        <c:dLbls>
          <c:showLegendKey val="0"/>
          <c:showVal val="0"/>
          <c:showCatName val="0"/>
          <c:showSerName val="0"/>
          <c:showPercent val="0"/>
          <c:showBubbleSize val="0"/>
        </c:dLbls>
        <c:marker val="1"/>
        <c:smooth val="0"/>
        <c:axId val="79850880"/>
        <c:axId val="79852672"/>
      </c:lineChart>
      <c:catAx>
        <c:axId val="79842688"/>
        <c:scaling>
          <c:orientation val="minMax"/>
        </c:scaling>
        <c:delete val="0"/>
        <c:axPos val="b"/>
        <c:title>
          <c:tx>
            <c:rich>
              <a:bodyPr/>
              <a:lstStyle/>
              <a:p>
                <a:pPr>
                  <a:defRPr sz="800" b="1" i="0" u="none" strike="noStrike" baseline="0">
                    <a:solidFill>
                      <a:srgbClr val="000000"/>
                    </a:solidFill>
                    <a:latin typeface="Arial"/>
                    <a:ea typeface="Arial"/>
                    <a:cs typeface="Arial"/>
                  </a:defRPr>
                </a:pPr>
                <a:r>
                  <a:rPr lang="en-US"/>
                  <a:t>Climate Zone</a:t>
                </a:r>
              </a:p>
            </c:rich>
          </c:tx>
          <c:layout>
            <c:manualLayout>
              <c:xMode val="edge"/>
              <c:yMode val="edge"/>
              <c:x val="0.44043892295966075"/>
              <c:y val="0.9120602400428101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79848960"/>
        <c:crosses val="autoZero"/>
        <c:auto val="1"/>
        <c:lblAlgn val="ctr"/>
        <c:lblOffset val="100"/>
        <c:tickLblSkip val="1"/>
        <c:tickMarkSkip val="1"/>
        <c:noMultiLvlLbl val="0"/>
      </c:catAx>
      <c:valAx>
        <c:axId val="79848960"/>
        <c:scaling>
          <c:orientation val="minMax"/>
          <c:min val="0"/>
        </c:scaling>
        <c:delete val="0"/>
        <c:axPos val="l"/>
        <c:majorGridlines>
          <c:spPr>
            <a:ln w="3175">
              <a:solidFill>
                <a:srgbClr val="000000"/>
              </a:solidFill>
              <a:prstDash val="solid"/>
            </a:ln>
          </c:spPr>
        </c:majorGridlines>
        <c:title>
          <c:tx>
            <c:rich>
              <a:bodyPr/>
              <a:lstStyle/>
              <a:p>
                <a:pPr>
                  <a:defRPr sz="975" b="0" i="0" u="none" strike="noStrike" baseline="0">
                    <a:solidFill>
                      <a:srgbClr val="000000"/>
                    </a:solidFill>
                    <a:latin typeface="Arial"/>
                    <a:ea typeface="Arial"/>
                    <a:cs typeface="Arial"/>
                  </a:defRPr>
                </a:pPr>
                <a:r>
                  <a:rPr lang="en-US"/>
                  <a:t>energ (kWh) impact per unit</a:t>
                </a:r>
              </a:p>
            </c:rich>
          </c:tx>
          <c:layout>
            <c:manualLayout>
              <c:xMode val="edge"/>
              <c:yMode val="edge"/>
              <c:x val="2.0376128561086608E-2"/>
              <c:y val="0.31155773004102633"/>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25" b="0" i="0" u="none" strike="noStrike" baseline="0">
                <a:solidFill>
                  <a:srgbClr val="0000FF"/>
                </a:solidFill>
                <a:latin typeface="Arial"/>
                <a:ea typeface="Arial"/>
                <a:cs typeface="Arial"/>
              </a:defRPr>
            </a:pPr>
            <a:endParaRPr lang="en-US"/>
          </a:p>
        </c:txPr>
        <c:crossAx val="79842688"/>
        <c:crosses val="autoZero"/>
        <c:crossBetween val="between"/>
      </c:valAx>
      <c:catAx>
        <c:axId val="79850880"/>
        <c:scaling>
          <c:orientation val="minMax"/>
        </c:scaling>
        <c:delete val="1"/>
        <c:axPos val="b"/>
        <c:majorTickMark val="out"/>
        <c:minorTickMark val="none"/>
        <c:tickLblPos val="none"/>
        <c:crossAx val="79852672"/>
        <c:crosses val="autoZero"/>
        <c:auto val="1"/>
        <c:lblAlgn val="ctr"/>
        <c:lblOffset val="100"/>
        <c:noMultiLvlLbl val="0"/>
      </c:catAx>
      <c:valAx>
        <c:axId val="79852672"/>
        <c:scaling>
          <c:orientation val="minMax"/>
          <c:min val="0"/>
        </c:scaling>
        <c:delete val="0"/>
        <c:axPos val="r"/>
        <c:title>
          <c:tx>
            <c:rich>
              <a:bodyPr/>
              <a:lstStyle/>
              <a:p>
                <a:pPr>
                  <a:defRPr sz="975" b="0" i="0" u="none" strike="noStrike" baseline="0">
                    <a:solidFill>
                      <a:srgbClr val="000000"/>
                    </a:solidFill>
                    <a:latin typeface="Arial"/>
                    <a:ea typeface="Arial"/>
                    <a:cs typeface="Arial"/>
                  </a:defRPr>
                </a:pPr>
                <a:r>
                  <a:rPr lang="en-US"/>
                  <a:t>demand (kW) impact per unit</a:t>
                </a:r>
              </a:p>
            </c:rich>
          </c:tx>
          <c:layout>
            <c:manualLayout>
              <c:xMode val="edge"/>
              <c:yMode val="edge"/>
              <c:x val="0.94514100834601078"/>
              <c:y val="0.3015075300053513"/>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25" b="0" i="0" u="none" strike="noStrike" baseline="0">
                <a:solidFill>
                  <a:srgbClr val="FF0000"/>
                </a:solidFill>
                <a:latin typeface="Arial"/>
                <a:ea typeface="Arial"/>
                <a:cs typeface="Arial"/>
              </a:defRPr>
            </a:pPr>
            <a:endParaRPr lang="en-US"/>
          </a:p>
        </c:txPr>
        <c:crossAx val="79850880"/>
        <c:crosses val="max"/>
        <c:crossBetween val="between"/>
      </c:valAx>
      <c:spPr>
        <a:solidFill>
          <a:srgbClr val="FFFFFF"/>
        </a:solidFill>
        <a:ln w="25400">
          <a:solidFill>
            <a:srgbClr val="000000"/>
          </a:solidFill>
          <a:prstDash val="solid"/>
        </a:ln>
      </c:spPr>
    </c:plotArea>
    <c:legend>
      <c:legendPos val="r"/>
      <c:layout>
        <c:manualLayout>
          <c:xMode val="edge"/>
          <c:yMode val="edge"/>
          <c:x val="0.54799625593580881"/>
          <c:y val="0.61941925948576815"/>
          <c:w val="0.29526187719852148"/>
          <c:h val="0.18640827663532381"/>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'[DEEER Database - Compare v2.05 to v4.00 -v1.xls]Non-Residential'!$R$81</c:f>
          <c:strCache>
            <c:ptCount val="1"/>
            <c:pt idx="0">
              <c:v>HVAC - Water cooled centrifugal chiller (150-299 tons, 0.507 kW/ton)</c:v>
            </c:pt>
          </c:strCache>
        </c:strRef>
      </c:tx>
      <c:layout>
        <c:manualLayout>
          <c:xMode val="edge"/>
          <c:yMode val="edge"/>
          <c:x val="0.17241383709174882"/>
          <c:y val="8.0402109930433466E-2"/>
        </c:manualLayout>
      </c:layout>
      <c:overlay val="0"/>
      <c:spPr>
        <a:noFill/>
        <a:ln w="25400">
          <a:noFill/>
        </a:ln>
      </c:spPr>
      <c:txPr>
        <a:bodyPr/>
        <a:lstStyle/>
        <a:p>
          <a:pPr>
            <a:defRPr sz="975" b="1" i="0" u="none" strike="noStrike" baseline="0">
              <a:solidFill>
                <a:srgbClr val="000000"/>
              </a:solidFill>
              <a:latin typeface="Arial"/>
              <a:ea typeface="Arial"/>
              <a:cs typeface="Arial"/>
            </a:defRPr>
          </a:pPr>
          <a:endParaRPr lang="en-US"/>
        </a:p>
      </c:txPr>
    </c:title>
    <c:autoTitleDeleted val="0"/>
    <c:plotArea>
      <c:layout>
        <c:manualLayout>
          <c:layoutTarget val="inner"/>
          <c:xMode val="edge"/>
          <c:yMode val="edge"/>
          <c:x val="9.5611285266457693E-2"/>
          <c:y val="0.19095477386934673"/>
          <c:w val="0.81034482758620685"/>
          <c:h val="0.65326633165829162"/>
        </c:manualLayout>
      </c:layout>
      <c:lineChart>
        <c:grouping val="standard"/>
        <c:varyColors val="0"/>
        <c:ser>
          <c:idx val="1"/>
          <c:order val="1"/>
          <c:tx>
            <c:v>Energy Impact kWh/unit (v4.00)</c:v>
          </c:tx>
          <c:spPr>
            <a:ln w="12700">
              <a:solidFill>
                <a:srgbClr val="0000FF"/>
              </a:solidFill>
              <a:prstDash val="solid"/>
            </a:ln>
          </c:spPr>
          <c:marker>
            <c:symbol val="square"/>
            <c:size val="5"/>
            <c:spPr>
              <a:solidFill>
                <a:srgbClr val="0000FF"/>
              </a:solidFill>
              <a:ln>
                <a:solidFill>
                  <a:srgbClr val="0000FF"/>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v4.00 -v1.xls]Non-Residential'!$R$109:$R$124</c:f>
              <c:numCache>
                <c:formatCode>0.0</c:formatCode>
                <c:ptCount val="16"/>
                <c:pt idx="0">
                  <c:v>58.511362156930645</c:v>
                </c:pt>
                <c:pt idx="1">
                  <c:v>111.57251687605246</c:v>
                </c:pt>
                <c:pt idx="2">
                  <c:v>98.017525817371563</c:v>
                </c:pt>
                <c:pt idx="3">
                  <c:v>111.58592813322812</c:v>
                </c:pt>
                <c:pt idx="4">
                  <c:v>115.26318148923781</c:v>
                </c:pt>
                <c:pt idx="5">
                  <c:v>137.30890467385913</c:v>
                </c:pt>
                <c:pt idx="6">
                  <c:v>132.89106931952409</c:v>
                </c:pt>
                <c:pt idx="7">
                  <c:v>142.08589308986728</c:v>
                </c:pt>
                <c:pt idx="8">
                  <c:v>145.72630682255431</c:v>
                </c:pt>
                <c:pt idx="9">
                  <c:v>148.00421016905318</c:v>
                </c:pt>
                <c:pt idx="10">
                  <c:v>129.07668116528194</c:v>
                </c:pt>
                <c:pt idx="11">
                  <c:v>120.04870681216102</c:v>
                </c:pt>
                <c:pt idx="12">
                  <c:v>137.26752935230687</c:v>
                </c:pt>
                <c:pt idx="13">
                  <c:v>143.092978181917</c:v>
                </c:pt>
                <c:pt idx="14">
                  <c:v>172.2479083919975</c:v>
                </c:pt>
                <c:pt idx="15">
                  <c:v>70.842700968813404</c:v>
                </c:pt>
              </c:numCache>
            </c:numRef>
          </c:val>
          <c:smooth val="0"/>
        </c:ser>
        <c:ser>
          <c:idx val="3"/>
          <c:order val="3"/>
          <c:tx>
            <c:v>Energy Impact kWh/unit (2.05)</c:v>
          </c:tx>
          <c:spPr>
            <a:ln w="12700">
              <a:solidFill>
                <a:srgbClr val="0000FF"/>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v4.00 -v1.xls]Non-Residential'!$Q$109:$Q$124</c:f>
              <c:numCache>
                <c:formatCode>0.0</c:formatCode>
                <c:ptCount val="16"/>
                <c:pt idx="0">
                  <c:v>57.908912345641255</c:v>
                </c:pt>
                <c:pt idx="1">
                  <c:v>122.58285780298952</c:v>
                </c:pt>
                <c:pt idx="2">
                  <c:v>94.349821267332189</c:v>
                </c:pt>
                <c:pt idx="3">
                  <c:v>125.83851492332637</c:v>
                </c:pt>
                <c:pt idx="4">
                  <c:v>107.00113592671079</c:v>
                </c:pt>
                <c:pt idx="5">
                  <c:v>146.90823782369296</c:v>
                </c:pt>
                <c:pt idx="6">
                  <c:v>144.84035497431097</c:v>
                </c:pt>
                <c:pt idx="7">
                  <c:v>154.69396153040552</c:v>
                </c:pt>
                <c:pt idx="8">
                  <c:v>157.75160642902739</c:v>
                </c:pt>
                <c:pt idx="9">
                  <c:v>164.49808895795724</c:v>
                </c:pt>
                <c:pt idx="10">
                  <c:v>142.05372812349424</c:v>
                </c:pt>
                <c:pt idx="11">
                  <c:v>131.52459188224341</c:v>
                </c:pt>
                <c:pt idx="12">
                  <c:v>152.09882438109625</c:v>
                </c:pt>
                <c:pt idx="13">
                  <c:v>159.04188524686347</c:v>
                </c:pt>
                <c:pt idx="14">
                  <c:v>218.15012799863069</c:v>
                </c:pt>
                <c:pt idx="15">
                  <c:v>77.628397510543223</c:v>
                </c:pt>
              </c:numCache>
            </c:numRef>
          </c:val>
          <c:smooth val="0"/>
        </c:ser>
        <c:dLbls>
          <c:showLegendKey val="0"/>
          <c:showVal val="0"/>
          <c:showCatName val="0"/>
          <c:showSerName val="0"/>
          <c:showPercent val="0"/>
          <c:showBubbleSize val="0"/>
        </c:dLbls>
        <c:marker val="1"/>
        <c:smooth val="0"/>
        <c:axId val="80418304"/>
        <c:axId val="80420224"/>
      </c:lineChart>
      <c:lineChart>
        <c:grouping val="standard"/>
        <c:varyColors val="0"/>
        <c:ser>
          <c:idx val="0"/>
          <c:order val="0"/>
          <c:tx>
            <c:v>Demand Impact W/unit (v4.00)</c:v>
          </c:tx>
          <c:spPr>
            <a:ln w="12700">
              <a:solidFill>
                <a:srgbClr val="FF0000"/>
              </a:solidFill>
              <a:prstDash val="solid"/>
            </a:ln>
          </c:spPr>
          <c:marker>
            <c:symbol val="diamond"/>
            <c:size val="5"/>
            <c:spPr>
              <a:solidFill>
                <a:srgbClr val="FF0000"/>
              </a:solidFill>
              <a:ln>
                <a:solidFill>
                  <a:srgbClr val="FF0000"/>
                </a:solidFill>
                <a:prstDash val="solid"/>
              </a:ln>
            </c:spPr>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v4.00 -v1.xls]Non-Residential'!$P$109:$P$124</c:f>
              <c:numCache>
                <c:formatCode>0.000</c:formatCode>
                <c:ptCount val="16"/>
                <c:pt idx="0">
                  <c:v>51.179202990933369</c:v>
                </c:pt>
                <c:pt idx="1">
                  <c:v>89.597260644625635</c:v>
                </c:pt>
                <c:pt idx="2">
                  <c:v>82.799417234434529</c:v>
                </c:pt>
                <c:pt idx="3">
                  <c:v>87.028362845655934</c:v>
                </c:pt>
                <c:pt idx="4">
                  <c:v>65.693011499847429</c:v>
                </c:pt>
                <c:pt idx="5">
                  <c:v>74.493300379959848</c:v>
                </c:pt>
                <c:pt idx="6">
                  <c:v>78.549105114926817</c:v>
                </c:pt>
                <c:pt idx="7">
                  <c:v>68.135804084735042</c:v>
                </c:pt>
                <c:pt idx="8">
                  <c:v>95.512000272021595</c:v>
                </c:pt>
                <c:pt idx="9">
                  <c:v>84.79308756505155</c:v>
                </c:pt>
                <c:pt idx="10">
                  <c:v>94.392474850922298</c:v>
                </c:pt>
                <c:pt idx="11">
                  <c:v>87.885229329572127</c:v>
                </c:pt>
                <c:pt idx="12">
                  <c:v>98.551713993686349</c:v>
                </c:pt>
                <c:pt idx="13">
                  <c:v>95.987112024852166</c:v>
                </c:pt>
                <c:pt idx="14">
                  <c:v>86.373760783874658</c:v>
                </c:pt>
                <c:pt idx="15">
                  <c:v>76.023189725618067</c:v>
                </c:pt>
              </c:numCache>
            </c:numRef>
          </c:val>
          <c:smooth val="0"/>
        </c:ser>
        <c:ser>
          <c:idx val="2"/>
          <c:order val="2"/>
          <c:tx>
            <c:v>Demand Impact W/unit (2.05)</c:v>
          </c:tx>
          <c:spPr>
            <a:ln w="12700">
              <a:solidFill>
                <a:srgbClr val="FF0000"/>
              </a:solidFill>
              <a:prstDash val="sysDash"/>
            </a:ln>
          </c:spPr>
          <c:marker>
            <c:symbol val="none"/>
          </c:marker>
          <c:cat>
            <c:strRef>
              <c:f>'[DEEER Database - Compare v2.05 to v4.00 -v1.xls]Non-Residential'!$B$109:$B$124</c:f>
              <c:strCache>
                <c:ptCount val="16"/>
                <c:pt idx="0">
                  <c:v>w01</c:v>
                </c:pt>
                <c:pt idx="1">
                  <c:v>w02</c:v>
                </c:pt>
                <c:pt idx="2">
                  <c:v>w03</c:v>
                </c:pt>
                <c:pt idx="3">
                  <c:v>w04</c:v>
                </c:pt>
                <c:pt idx="4">
                  <c:v>w05</c:v>
                </c:pt>
                <c:pt idx="5">
                  <c:v>w06</c:v>
                </c:pt>
                <c:pt idx="6">
                  <c:v>w07</c:v>
                </c:pt>
                <c:pt idx="7">
                  <c:v>w08</c:v>
                </c:pt>
                <c:pt idx="8">
                  <c:v>w09</c:v>
                </c:pt>
                <c:pt idx="9">
                  <c:v>w10</c:v>
                </c:pt>
                <c:pt idx="10">
                  <c:v>w11</c:v>
                </c:pt>
                <c:pt idx="11">
                  <c:v>w12</c:v>
                </c:pt>
                <c:pt idx="12">
                  <c:v>w13</c:v>
                </c:pt>
                <c:pt idx="13">
                  <c:v>w14</c:v>
                </c:pt>
                <c:pt idx="14">
                  <c:v>w15</c:v>
                </c:pt>
                <c:pt idx="15">
                  <c:v>w16</c:v>
                </c:pt>
              </c:strCache>
            </c:strRef>
          </c:cat>
          <c:val>
            <c:numRef>
              <c:f>'[DEEER Database - Compare v2.05 to v4.00 -v1.xls]Non-Residential'!$O$109:$O$124</c:f>
              <c:numCache>
                <c:formatCode>0.000</c:formatCode>
                <c:ptCount val="16"/>
                <c:pt idx="0">
                  <c:v>36.374389451302761</c:v>
                </c:pt>
                <c:pt idx="1">
                  <c:v>89.542022762881388</c:v>
                </c:pt>
                <c:pt idx="2">
                  <c:v>60.058063820726602</c:v>
                </c:pt>
                <c:pt idx="3">
                  <c:v>87.218050333461676</c:v>
                </c:pt>
                <c:pt idx="4">
                  <c:v>51.344414032118436</c:v>
                </c:pt>
                <c:pt idx="5">
                  <c:v>68.885698868051804</c:v>
                </c:pt>
                <c:pt idx="6">
                  <c:v>67.626529659037885</c:v>
                </c:pt>
                <c:pt idx="7">
                  <c:v>68.266384425319487</c:v>
                </c:pt>
                <c:pt idx="8">
                  <c:v>95.243351232622658</c:v>
                </c:pt>
                <c:pt idx="9">
                  <c:v>83.777773111008401</c:v>
                </c:pt>
                <c:pt idx="10">
                  <c:v>93.090803799958465</c:v>
                </c:pt>
                <c:pt idx="11">
                  <c:v>87.766229655769251</c:v>
                </c:pt>
                <c:pt idx="12">
                  <c:v>97.004539976048662</c:v>
                </c:pt>
                <c:pt idx="13">
                  <c:v>95.152859439730477</c:v>
                </c:pt>
                <c:pt idx="14">
                  <c:v>95.419866632429958</c:v>
                </c:pt>
                <c:pt idx="15">
                  <c:v>79.041695709637935</c:v>
                </c:pt>
              </c:numCache>
            </c:numRef>
          </c:val>
          <c:smooth val="0"/>
        </c:ser>
        <c:dLbls>
          <c:showLegendKey val="0"/>
          <c:showVal val="0"/>
          <c:showCatName val="0"/>
          <c:showSerName val="0"/>
          <c:showPercent val="0"/>
          <c:showBubbleSize val="0"/>
        </c:dLbls>
        <c:marker val="1"/>
        <c:smooth val="0"/>
        <c:axId val="80430592"/>
        <c:axId val="80432128"/>
      </c:lineChart>
      <c:catAx>
        <c:axId val="80418304"/>
        <c:scaling>
          <c:orientation val="minMax"/>
        </c:scaling>
        <c:delete val="0"/>
        <c:axPos val="b"/>
        <c:title>
          <c:tx>
            <c:rich>
              <a:bodyPr/>
              <a:lstStyle/>
              <a:p>
                <a:pPr>
                  <a:defRPr sz="800" b="1" i="0" u="none" strike="noStrike" baseline="0">
                    <a:solidFill>
                      <a:srgbClr val="000000"/>
                    </a:solidFill>
                    <a:latin typeface="Arial"/>
                    <a:ea typeface="Arial"/>
                    <a:cs typeface="Arial"/>
                  </a:defRPr>
                </a:pPr>
                <a:r>
                  <a:rPr lang="en-US"/>
                  <a:t>Climate Zone</a:t>
                </a:r>
              </a:p>
            </c:rich>
          </c:tx>
          <c:layout>
            <c:manualLayout>
              <c:xMode val="edge"/>
              <c:yMode val="edge"/>
              <c:x val="0.44043892295966075"/>
              <c:y val="0.9120602400428101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25" b="0" i="0" u="none" strike="noStrike" baseline="0">
                <a:solidFill>
                  <a:srgbClr val="000000"/>
                </a:solidFill>
                <a:latin typeface="Arial"/>
                <a:ea typeface="Arial"/>
                <a:cs typeface="Arial"/>
              </a:defRPr>
            </a:pPr>
            <a:endParaRPr lang="en-US"/>
          </a:p>
        </c:txPr>
        <c:crossAx val="80420224"/>
        <c:crosses val="autoZero"/>
        <c:auto val="1"/>
        <c:lblAlgn val="ctr"/>
        <c:lblOffset val="100"/>
        <c:tickLblSkip val="1"/>
        <c:tickMarkSkip val="1"/>
        <c:noMultiLvlLbl val="0"/>
      </c:catAx>
      <c:valAx>
        <c:axId val="80420224"/>
        <c:scaling>
          <c:orientation val="minMax"/>
          <c:min val="0"/>
        </c:scaling>
        <c:delete val="0"/>
        <c:axPos val="l"/>
        <c:majorGridlines>
          <c:spPr>
            <a:ln w="3175">
              <a:solidFill>
                <a:srgbClr val="000000"/>
              </a:solidFill>
              <a:prstDash val="solid"/>
            </a:ln>
          </c:spPr>
        </c:majorGridlines>
        <c:title>
          <c:tx>
            <c:rich>
              <a:bodyPr/>
              <a:lstStyle/>
              <a:p>
                <a:pPr>
                  <a:defRPr sz="975" b="0" i="0" u="none" strike="noStrike" baseline="0">
                    <a:solidFill>
                      <a:srgbClr val="000000"/>
                    </a:solidFill>
                    <a:latin typeface="Arial"/>
                    <a:ea typeface="Arial"/>
                    <a:cs typeface="Arial"/>
                  </a:defRPr>
                </a:pPr>
                <a:r>
                  <a:rPr lang="en-US"/>
                  <a:t>energ (kWh) impact per unit</a:t>
                </a:r>
              </a:p>
            </c:rich>
          </c:tx>
          <c:layout>
            <c:manualLayout>
              <c:xMode val="edge"/>
              <c:yMode val="edge"/>
              <c:x val="2.0376128561086608E-2"/>
              <c:y val="0.31155773004102633"/>
            </c:manualLayout>
          </c:layout>
          <c:overlay val="0"/>
          <c:spPr>
            <a:noFill/>
            <a:ln w="25400">
              <a:noFill/>
            </a:ln>
          </c:spPr>
        </c:title>
        <c:numFmt formatCode="0.0" sourceLinked="0"/>
        <c:majorTickMark val="out"/>
        <c:minorTickMark val="none"/>
        <c:tickLblPos val="nextTo"/>
        <c:spPr>
          <a:ln w="3175">
            <a:solidFill>
              <a:srgbClr val="0000FF"/>
            </a:solidFill>
            <a:prstDash val="solid"/>
          </a:ln>
        </c:spPr>
        <c:txPr>
          <a:bodyPr rot="0" vert="horz"/>
          <a:lstStyle/>
          <a:p>
            <a:pPr>
              <a:defRPr sz="825" b="0" i="0" u="none" strike="noStrike" baseline="0">
                <a:solidFill>
                  <a:srgbClr val="0000FF"/>
                </a:solidFill>
                <a:latin typeface="Arial"/>
                <a:ea typeface="Arial"/>
                <a:cs typeface="Arial"/>
              </a:defRPr>
            </a:pPr>
            <a:endParaRPr lang="en-US"/>
          </a:p>
        </c:txPr>
        <c:crossAx val="80418304"/>
        <c:crosses val="autoZero"/>
        <c:crossBetween val="between"/>
      </c:valAx>
      <c:catAx>
        <c:axId val="80430592"/>
        <c:scaling>
          <c:orientation val="minMax"/>
        </c:scaling>
        <c:delete val="1"/>
        <c:axPos val="b"/>
        <c:majorTickMark val="out"/>
        <c:minorTickMark val="none"/>
        <c:tickLblPos val="none"/>
        <c:crossAx val="80432128"/>
        <c:crosses val="autoZero"/>
        <c:auto val="1"/>
        <c:lblAlgn val="ctr"/>
        <c:lblOffset val="100"/>
        <c:noMultiLvlLbl val="0"/>
      </c:catAx>
      <c:valAx>
        <c:axId val="80432128"/>
        <c:scaling>
          <c:orientation val="minMax"/>
          <c:min val="0"/>
        </c:scaling>
        <c:delete val="0"/>
        <c:axPos val="r"/>
        <c:title>
          <c:tx>
            <c:rich>
              <a:bodyPr/>
              <a:lstStyle/>
              <a:p>
                <a:pPr>
                  <a:defRPr sz="975" b="0" i="0" u="none" strike="noStrike" baseline="0">
                    <a:solidFill>
                      <a:srgbClr val="000000"/>
                    </a:solidFill>
                    <a:latin typeface="Arial"/>
                    <a:ea typeface="Arial"/>
                    <a:cs typeface="Arial"/>
                  </a:defRPr>
                </a:pPr>
                <a:r>
                  <a:rPr lang="en-US"/>
                  <a:t>demand (kW) impact per unit</a:t>
                </a:r>
              </a:p>
            </c:rich>
          </c:tx>
          <c:layout>
            <c:manualLayout>
              <c:xMode val="edge"/>
              <c:yMode val="edge"/>
              <c:x val="0.94514100834601078"/>
              <c:y val="0.3015075300053513"/>
            </c:manualLayout>
          </c:layout>
          <c:overlay val="0"/>
          <c:spPr>
            <a:noFill/>
            <a:ln w="25400">
              <a:noFill/>
            </a:ln>
          </c:spPr>
        </c:title>
        <c:numFmt formatCode="0.0" sourceLinked="0"/>
        <c:majorTickMark val="cross"/>
        <c:minorTickMark val="none"/>
        <c:tickLblPos val="nextTo"/>
        <c:spPr>
          <a:ln w="3175">
            <a:solidFill>
              <a:srgbClr val="FF0000"/>
            </a:solidFill>
            <a:prstDash val="solid"/>
          </a:ln>
        </c:spPr>
        <c:txPr>
          <a:bodyPr rot="0" vert="horz"/>
          <a:lstStyle/>
          <a:p>
            <a:pPr>
              <a:defRPr sz="825" b="0" i="0" u="none" strike="noStrike" baseline="0">
                <a:solidFill>
                  <a:srgbClr val="FF0000"/>
                </a:solidFill>
                <a:latin typeface="Arial"/>
                <a:ea typeface="Arial"/>
                <a:cs typeface="Arial"/>
              </a:defRPr>
            </a:pPr>
            <a:endParaRPr lang="en-US"/>
          </a:p>
        </c:txPr>
        <c:crossAx val="80430592"/>
        <c:crosses val="max"/>
        <c:crossBetween val="between"/>
      </c:valAx>
      <c:spPr>
        <a:solidFill>
          <a:srgbClr val="FFFFFF"/>
        </a:solidFill>
        <a:ln w="25400">
          <a:solidFill>
            <a:srgbClr val="000000"/>
          </a:solidFill>
          <a:prstDash val="solid"/>
        </a:ln>
      </c:spPr>
    </c:plotArea>
    <c:legend>
      <c:legendPos val="r"/>
      <c:layout>
        <c:manualLayout>
          <c:xMode val="edge"/>
          <c:yMode val="edge"/>
          <c:x val="0.54799625593580881"/>
          <c:y val="0.61941925948576815"/>
          <c:w val="0.29526187719852148"/>
          <c:h val="0.18640827663532381"/>
        </c:manualLayout>
      </c:layout>
      <c:overlay val="0"/>
      <c:spPr>
        <a:no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0.05296</cdr:x>
      <cdr:y>0.02986</cdr:y>
    </cdr:from>
    <cdr:to>
      <cdr:x>0.47171</cdr:x>
      <cdr:y>0.08106</cdr:y>
    </cdr:to>
    <cdr:sp macro="" textlink="">
      <cdr:nvSpPr>
        <cdr:cNvPr id="22529" name="Text Box 1025"/>
        <cdr:cNvSpPr txBox="1">
          <a:spLocks xmlns:a="http://schemas.openxmlformats.org/drawingml/2006/main" noChangeArrowheads="1"/>
        </cdr:cNvSpPr>
      </cdr:nvSpPr>
      <cdr:spPr bwMode="auto">
        <a:xfrm xmlns:a="http://schemas.openxmlformats.org/drawingml/2006/main">
          <a:off x="331305" y="116740"/>
          <a:ext cx="2619692" cy="20011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200" b="0" i="0" u="none" strike="noStrike" baseline="0">
              <a:solidFill>
                <a:srgbClr val="000000"/>
              </a:solidFill>
              <a:latin typeface="Arial"/>
              <a:cs typeface="Arial"/>
            </a:rPr>
            <a:t>Change in DEER natural gas impacts </a:t>
          </a:r>
        </a:p>
      </cdr:txBody>
    </cdr:sp>
  </cdr:relSizeAnchor>
</c:userShapes>
</file>

<file path=word/drawings/drawing10.xml><?xml version="1.0" encoding="utf-8"?>
<c:userShapes xmlns:c="http://schemas.openxmlformats.org/drawingml/2006/chart">
  <cdr:relSizeAnchor xmlns:cdr="http://schemas.openxmlformats.org/drawingml/2006/chartDrawing">
    <cdr:from>
      <cdr:x>0.04374</cdr:x>
      <cdr:y>0.02542</cdr:y>
    </cdr:from>
    <cdr:to>
      <cdr:x>0.60502</cdr:x>
      <cdr:y>0.07535</cdr:y>
    </cdr:to>
    <cdr:sp macro="" textlink="">
      <cdr:nvSpPr>
        <cdr:cNvPr id="44033" name="Text Box 1"/>
        <cdr:cNvSpPr txBox="1">
          <a:spLocks xmlns:a="http://schemas.openxmlformats.org/drawingml/2006/main" noChangeArrowheads="1"/>
        </cdr:cNvSpPr>
      </cdr:nvSpPr>
      <cdr:spPr bwMode="auto">
        <a:xfrm xmlns:a="http://schemas.openxmlformats.org/drawingml/2006/main">
          <a:off x="274986" y="99938"/>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11.xml><?xml version="1.0" encoding="utf-8"?>
<c:userShapes xmlns:c="http://schemas.openxmlformats.org/drawingml/2006/chart">
  <cdr:relSizeAnchor xmlns:cdr="http://schemas.openxmlformats.org/drawingml/2006/chartDrawing">
    <cdr:from>
      <cdr:x>0.04374</cdr:x>
      <cdr:y>0.02542</cdr:y>
    </cdr:from>
    <cdr:to>
      <cdr:x>0.60502</cdr:x>
      <cdr:y>0.07535</cdr:y>
    </cdr:to>
    <cdr:sp macro="" textlink="">
      <cdr:nvSpPr>
        <cdr:cNvPr id="44033" name="Text Box 1"/>
        <cdr:cNvSpPr txBox="1">
          <a:spLocks xmlns:a="http://schemas.openxmlformats.org/drawingml/2006/main" noChangeArrowheads="1"/>
        </cdr:cNvSpPr>
      </cdr:nvSpPr>
      <cdr:spPr bwMode="auto">
        <a:xfrm xmlns:a="http://schemas.openxmlformats.org/drawingml/2006/main">
          <a:off x="274986" y="99938"/>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2.xml><?xml version="1.0" encoding="utf-8"?>
<c:userShapes xmlns:c="http://schemas.openxmlformats.org/drawingml/2006/chart">
  <cdr:relSizeAnchor xmlns:cdr="http://schemas.openxmlformats.org/drawingml/2006/chartDrawing">
    <cdr:from>
      <cdr:x>0.03957</cdr:x>
      <cdr:y>0.02959</cdr:y>
    </cdr:from>
    <cdr:to>
      <cdr:x>0.60221</cdr:x>
      <cdr:y>0.07962</cdr:y>
    </cdr:to>
    <cdr:sp macro="" textlink="">
      <cdr:nvSpPr>
        <cdr:cNvPr id="13313" name="Text Box 1025"/>
        <cdr:cNvSpPr txBox="1">
          <a:spLocks xmlns:a="http://schemas.openxmlformats.org/drawingml/2006/main" noChangeArrowheads="1"/>
        </cdr:cNvSpPr>
      </cdr:nvSpPr>
      <cdr:spPr bwMode="auto">
        <a:xfrm xmlns:a="http://schemas.openxmlformats.org/drawingml/2006/main">
          <a:off x="248142" y="116136"/>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3.xml><?xml version="1.0" encoding="utf-8"?>
<c:userShapes xmlns:c="http://schemas.openxmlformats.org/drawingml/2006/chart">
  <cdr:relSizeAnchor xmlns:cdr="http://schemas.openxmlformats.org/drawingml/2006/chartDrawing">
    <cdr:from>
      <cdr:x>0.05296</cdr:x>
      <cdr:y>0.02986</cdr:y>
    </cdr:from>
    <cdr:to>
      <cdr:x>0.47171</cdr:x>
      <cdr:y>0.08106</cdr:y>
    </cdr:to>
    <cdr:sp macro="" textlink="">
      <cdr:nvSpPr>
        <cdr:cNvPr id="22529" name="Text Box 1025"/>
        <cdr:cNvSpPr txBox="1">
          <a:spLocks xmlns:a="http://schemas.openxmlformats.org/drawingml/2006/main" noChangeArrowheads="1"/>
        </cdr:cNvSpPr>
      </cdr:nvSpPr>
      <cdr:spPr bwMode="auto">
        <a:xfrm xmlns:a="http://schemas.openxmlformats.org/drawingml/2006/main">
          <a:off x="331305" y="116740"/>
          <a:ext cx="2619692" cy="20011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200" b="0" i="0" u="none" strike="noStrike" baseline="0">
              <a:solidFill>
                <a:srgbClr val="000000"/>
              </a:solidFill>
              <a:latin typeface="Arial"/>
              <a:cs typeface="Arial"/>
            </a:rPr>
            <a:t>Change in DEER natural gas impacts </a:t>
          </a:r>
        </a:p>
      </cdr:txBody>
    </cdr:sp>
  </cdr:relSizeAnchor>
</c:userShapes>
</file>

<file path=word/drawings/drawing4.xml><?xml version="1.0" encoding="utf-8"?>
<c:userShapes xmlns:c="http://schemas.openxmlformats.org/drawingml/2006/chart">
  <cdr:relSizeAnchor xmlns:cdr="http://schemas.openxmlformats.org/drawingml/2006/chartDrawing">
    <cdr:from>
      <cdr:x>0.04374</cdr:x>
      <cdr:y>0.02542</cdr:y>
    </cdr:from>
    <cdr:to>
      <cdr:x>0.60502</cdr:x>
      <cdr:y>0.07535</cdr:y>
    </cdr:to>
    <cdr:sp macro="" textlink="">
      <cdr:nvSpPr>
        <cdr:cNvPr id="44033" name="Text Box 1"/>
        <cdr:cNvSpPr txBox="1">
          <a:spLocks xmlns:a="http://schemas.openxmlformats.org/drawingml/2006/main" noChangeArrowheads="1"/>
        </cdr:cNvSpPr>
      </cdr:nvSpPr>
      <cdr:spPr bwMode="auto">
        <a:xfrm xmlns:a="http://schemas.openxmlformats.org/drawingml/2006/main">
          <a:off x="274986" y="99938"/>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5.xml><?xml version="1.0" encoding="utf-8"?>
<c:userShapes xmlns:c="http://schemas.openxmlformats.org/drawingml/2006/chart">
  <cdr:relSizeAnchor xmlns:cdr="http://schemas.openxmlformats.org/drawingml/2006/chartDrawing">
    <cdr:from>
      <cdr:x>0.04374</cdr:x>
      <cdr:y>0.02542</cdr:y>
    </cdr:from>
    <cdr:to>
      <cdr:x>0.60502</cdr:x>
      <cdr:y>0.07535</cdr:y>
    </cdr:to>
    <cdr:sp macro="" textlink="">
      <cdr:nvSpPr>
        <cdr:cNvPr id="44033" name="Text Box 1"/>
        <cdr:cNvSpPr txBox="1">
          <a:spLocks xmlns:a="http://schemas.openxmlformats.org/drawingml/2006/main" noChangeArrowheads="1"/>
        </cdr:cNvSpPr>
      </cdr:nvSpPr>
      <cdr:spPr bwMode="auto">
        <a:xfrm xmlns:a="http://schemas.openxmlformats.org/drawingml/2006/main">
          <a:off x="274986" y="99938"/>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6.xml><?xml version="1.0" encoding="utf-8"?>
<c:userShapes xmlns:c="http://schemas.openxmlformats.org/drawingml/2006/chart">
  <cdr:relSizeAnchor xmlns:cdr="http://schemas.openxmlformats.org/drawingml/2006/chartDrawing">
    <cdr:from>
      <cdr:x>0.03957</cdr:x>
      <cdr:y>0.02959</cdr:y>
    </cdr:from>
    <cdr:to>
      <cdr:x>0.60221</cdr:x>
      <cdr:y>0.07962</cdr:y>
    </cdr:to>
    <cdr:sp macro="" textlink="">
      <cdr:nvSpPr>
        <cdr:cNvPr id="13313" name="Text Box 1025"/>
        <cdr:cNvSpPr txBox="1">
          <a:spLocks xmlns:a="http://schemas.openxmlformats.org/drawingml/2006/main" noChangeArrowheads="1"/>
        </cdr:cNvSpPr>
      </cdr:nvSpPr>
      <cdr:spPr bwMode="auto">
        <a:xfrm xmlns:a="http://schemas.openxmlformats.org/drawingml/2006/main">
          <a:off x="248142" y="116136"/>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7.xml><?xml version="1.0" encoding="utf-8"?>
<c:userShapes xmlns:c="http://schemas.openxmlformats.org/drawingml/2006/chart">
  <cdr:relSizeAnchor xmlns:cdr="http://schemas.openxmlformats.org/drawingml/2006/chartDrawing">
    <cdr:from>
      <cdr:x>0.03957</cdr:x>
      <cdr:y>0.02959</cdr:y>
    </cdr:from>
    <cdr:to>
      <cdr:x>0.60221</cdr:x>
      <cdr:y>0.07962</cdr:y>
    </cdr:to>
    <cdr:sp macro="" textlink="">
      <cdr:nvSpPr>
        <cdr:cNvPr id="13313" name="Text Box 1025"/>
        <cdr:cNvSpPr txBox="1">
          <a:spLocks xmlns:a="http://schemas.openxmlformats.org/drawingml/2006/main" noChangeArrowheads="1"/>
        </cdr:cNvSpPr>
      </cdr:nvSpPr>
      <cdr:spPr bwMode="auto">
        <a:xfrm xmlns:a="http://schemas.openxmlformats.org/drawingml/2006/main">
          <a:off x="248142" y="116136"/>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8.xml><?xml version="1.0" encoding="utf-8"?>
<c:userShapes xmlns:c="http://schemas.openxmlformats.org/drawingml/2006/chart">
  <cdr:relSizeAnchor xmlns:cdr="http://schemas.openxmlformats.org/drawingml/2006/chartDrawing">
    <cdr:from>
      <cdr:x>0.03957</cdr:x>
      <cdr:y>0.02959</cdr:y>
    </cdr:from>
    <cdr:to>
      <cdr:x>0.60221</cdr:x>
      <cdr:y>0.07962</cdr:y>
    </cdr:to>
    <cdr:sp macro="" textlink="">
      <cdr:nvSpPr>
        <cdr:cNvPr id="13313" name="Text Box 1025"/>
        <cdr:cNvSpPr txBox="1">
          <a:spLocks xmlns:a="http://schemas.openxmlformats.org/drawingml/2006/main" noChangeArrowheads="1"/>
        </cdr:cNvSpPr>
      </cdr:nvSpPr>
      <cdr:spPr bwMode="auto">
        <a:xfrm xmlns:a="http://schemas.openxmlformats.org/drawingml/2006/main">
          <a:off x="248142" y="116136"/>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drawings/drawing9.xml><?xml version="1.0" encoding="utf-8"?>
<c:userShapes xmlns:c="http://schemas.openxmlformats.org/drawingml/2006/chart">
  <cdr:relSizeAnchor xmlns:cdr="http://schemas.openxmlformats.org/drawingml/2006/chartDrawing">
    <cdr:from>
      <cdr:x>0.03957</cdr:x>
      <cdr:y>0.02959</cdr:y>
    </cdr:from>
    <cdr:to>
      <cdr:x>0.60221</cdr:x>
      <cdr:y>0.07962</cdr:y>
    </cdr:to>
    <cdr:sp macro="" textlink="">
      <cdr:nvSpPr>
        <cdr:cNvPr id="13313" name="Text Box 1025"/>
        <cdr:cNvSpPr txBox="1">
          <a:spLocks xmlns:a="http://schemas.openxmlformats.org/drawingml/2006/main" noChangeArrowheads="1"/>
        </cdr:cNvSpPr>
      </cdr:nvSpPr>
      <cdr:spPr bwMode="auto">
        <a:xfrm xmlns:a="http://schemas.openxmlformats.org/drawingml/2006/main">
          <a:off x="248142" y="116136"/>
          <a:ext cx="3528466" cy="19633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US" sz="1175" b="0" i="0" u="none" strike="noStrike" baseline="0">
              <a:solidFill>
                <a:srgbClr val="000000"/>
              </a:solidFill>
              <a:latin typeface="Arial"/>
              <a:cs typeface="Arial"/>
            </a:rPr>
            <a:t>Change in DEER Electric Use and Demand impacts </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74</TotalTime>
  <Pages>43</Pages>
  <Words>10524</Words>
  <Characters>59993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DEER Measure Database Update (January 2010)</vt:lpstr>
    </vt:vector>
  </TitlesOfParts>
  <Company>PRC</Company>
  <LinksUpToDate>false</LinksUpToDate>
  <CharactersWithSpaces>70377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DEER Measure Database Update (January 2010)</dc:title>
  <dc:creator>CPUC Energy Division</dc:creator>
  <cp:lastModifiedBy>Lu, Aaron</cp:lastModifiedBy>
  <cp:revision>16</cp:revision>
  <cp:lastPrinted>2010-03-19T02:15:00Z</cp:lastPrinted>
  <dcterms:created xsi:type="dcterms:W3CDTF">2011-11-08T18:33:00Z</dcterms:created>
  <dcterms:modified xsi:type="dcterms:W3CDTF">2014-05-01T17:13:00Z</dcterms:modified>
</cp:coreProperties>
</file>